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ISO 26262 / ASPICE Compliance Guidelines</w:t>
      </w:r>
    </w:p>
    <w:p>
      <w:r>
        <w:rPr>
          <w:i/>
          <w:color w:val="555555"/>
          <w:sz w:val="22"/>
        </w:rPr>
        <w:t>Traceability expectations for MBD workflows · SWE.1–SWE.6 work product linkage</w:t>
      </w:r>
    </w:p>
    <w:p>
      <w:pPr>
        <w:pStyle w:val="Heading1"/>
      </w:pPr>
      <w:r>
        <w:t>1. ISO 26262 Part 6 — Traceability Expectations</w:t>
      </w:r>
    </w:p>
    <w:p>
      <w:r>
        <w:rPr>
          <w:b w:val="0"/>
        </w:rPr>
        <w:t>ISO 26262-6 (Product development at the software level) requires bidirectional traceability across the full software safety lifecycle. For an MBD workflow, this maps to:</w:t>
      </w:r>
    </w:p>
    <w:p>
      <w:pPr>
        <w:pStyle w:val="ListBullet"/>
      </w:pPr>
      <w:r>
        <w:t>Safety Requirement ↔ Software Requirement (REQ-xxx) — each software requirement traces to its parent safety goal / technical safety requirement (or to a quality requirement, for QM-classified elements such as HA-LCA).</w:t>
      </w:r>
    </w:p>
    <w:p>
      <w:pPr>
        <w:pStyle w:val="ListBullet"/>
      </w:pPr>
      <w:r>
        <w:t>Software Requirement ↔ Software Architecture — each requirement is allocated to one or more model subsystems.</w:t>
      </w:r>
    </w:p>
    <w:p>
      <w:pPr>
        <w:pStyle w:val="ListBullet"/>
      </w:pPr>
      <w:r>
        <w:t>Software Architecture ↔ Detailed Design / Model elements — subsystem-level blocks, Stateflow states, and SLDD entries trace to architectural elements.</w:t>
      </w:r>
    </w:p>
    <w:p>
      <w:pPr>
        <w:pStyle w:val="ListBullet"/>
      </w:pPr>
      <w:r>
        <w:t>Design ↔ Verification — every requirement has at least one MIL/SIL/PIL/HIL test case; ASIL C/D elements additionally require structural coverage (e.g., MC/DC).</w:t>
      </w:r>
    </w:p>
    <w:p>
      <w:pPr>
        <w:pStyle w:val="ListBullet"/>
      </w:pPr>
      <w:r>
        <w:t>Verification results ↔ Safety Case ↔ AUTOSAR mapping — closure evidence and AUTOSAR S-R interface mapping are archived and linked back to the originating requirement.</w:t>
      </w:r>
    </w:p>
    <w:p>
      <w:r>
        <w:rPr>
          <w:b w:val="0"/>
        </w:rPr>
        <w:t>Note: In Simulink, this is implemented using Requirements Toolbox links (requirement → block → test case) and surfaced in the traceability/status report used for Model Advisor and safety/quality assessment reviews.</w:t>
      </w:r>
    </w:p>
    <w:p>
      <w:pPr>
        <w:pStyle w:val="Heading1"/>
      </w:pPr>
      <w:r>
        <w:t>2. ASPICE SWE.1–SWE.6 — Work Product Linkage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2304"/>
          </w:tcPr>
          <w:p>
            <w:r>
              <w:rPr>
                <w:b/>
              </w:rPr>
              <w:t>Work Product Focus</w:t>
            </w:r>
          </w:p>
        </w:tc>
        <w:tc>
          <w:tcPr>
            <w:tcW w:type="dxa" w:w="4176"/>
          </w:tcPr>
          <w:p>
            <w:r>
              <w:rPr>
                <w:b/>
              </w:rPr>
              <w:t>MBD Artifact Linkage</w:t>
            </w:r>
          </w:p>
        </w:tc>
      </w:tr>
      <w:tr>
        <w:tc>
          <w:tcPr>
            <w:tcW w:type="dxa" w:w="2880"/>
          </w:tcPr>
          <w:p>
            <w:r>
              <w:t>SWE.1 Software Requirements Analysis</w:t>
            </w:r>
          </w:p>
        </w:tc>
        <w:tc>
          <w:tcPr>
            <w:tcW w:type="dxa" w:w="2304"/>
          </w:tcPr>
          <w:p>
            <w:r>
              <w:t>Requirements analysis</w:t>
            </w:r>
          </w:p>
        </w:tc>
        <w:tc>
          <w:tcPr>
            <w:tcW w:type="dxa" w:w="4176"/>
          </w:tcPr>
          <w:p>
            <w:r>
              <w:t>Requirement document (REQ-xxx table), Simulink Requirements linkset, stakeholder review record</w:t>
            </w:r>
          </w:p>
        </w:tc>
      </w:tr>
      <w:tr>
        <w:tc>
          <w:tcPr>
            <w:tcW w:type="dxa" w:w="2880"/>
          </w:tcPr>
          <w:p>
            <w:r>
              <w:t>SWE.2 Software Architectural Design</w:t>
            </w:r>
          </w:p>
        </w:tc>
        <w:tc>
          <w:tcPr>
            <w:tcW w:type="dxa" w:w="2304"/>
          </w:tcPr>
          <w:p>
            <w:r>
              <w:t>Architecture design</w:t>
            </w:r>
          </w:p>
        </w:tc>
        <w:tc>
          <w:tcPr>
            <w:tcW w:type="dxa" w:w="4176"/>
          </w:tcPr>
          <w:p>
            <w:r>
              <w:t>Simulink model top-level architecture (subsystem partitioning), interface/SLDD definition, ASIL/QM allocation per subsystem</w:t>
            </w:r>
          </w:p>
        </w:tc>
      </w:tr>
      <w:tr>
        <w:tc>
          <w:tcPr>
            <w:tcW w:type="dxa" w:w="2880"/>
          </w:tcPr>
          <w:p>
            <w:r>
              <w:t>SWE.3 Software Detailed Design &amp; Unit Construction</w:t>
            </w:r>
          </w:p>
        </w:tc>
        <w:tc>
          <w:tcPr>
            <w:tcW w:type="dxa" w:w="2304"/>
          </w:tcPr>
          <w:p>
            <w:r>
              <w:t>Detailed design</w:t>
            </w:r>
          </w:p>
        </w:tc>
        <w:tc>
          <w:tcPr>
            <w:tcW w:type="dxa" w:w="4176"/>
          </w:tcPr>
          <w:p>
            <w:r>
              <w:t>Subsystem-level Simulink model (Stateflow charts, block logic), Model Advisor 'MAAB compliance' report, naming/style guide conformance</w:t>
            </w:r>
          </w:p>
        </w:tc>
      </w:tr>
      <w:tr>
        <w:tc>
          <w:tcPr>
            <w:tcW w:type="dxa" w:w="2880"/>
          </w:tcPr>
          <w:p>
            <w:r>
              <w:t>SWE.4 Software Unit Verification</w:t>
            </w:r>
          </w:p>
        </w:tc>
        <w:tc>
          <w:tcPr>
            <w:tcW w:type="dxa" w:w="2304"/>
          </w:tcPr>
          <w:p>
            <w:r>
              <w:t>Unit verification</w:t>
            </w:r>
          </w:p>
        </w:tc>
        <w:tc>
          <w:tcPr>
            <w:tcW w:type="dxa" w:w="4176"/>
          </w:tcPr>
          <w:p>
            <w:r>
              <w:t>Model-in-the-Loop (MIL) test cases per requirement, Simulink Test / Requirements Toolbox traceability matrix, coverage report</w:t>
            </w:r>
          </w:p>
        </w:tc>
      </w:tr>
      <w:tr>
        <w:tc>
          <w:tcPr>
            <w:tcW w:type="dxa" w:w="2880"/>
          </w:tcPr>
          <w:p>
            <w:r>
              <w:t>SWE.5 Software Integration &amp; Integration Test</w:t>
            </w:r>
          </w:p>
        </w:tc>
        <w:tc>
          <w:tcPr>
            <w:tcW w:type="dxa" w:w="2304"/>
          </w:tcPr>
          <w:p>
            <w:r>
              <w:t>Integration test</w:t>
            </w:r>
          </w:p>
        </w:tc>
        <w:tc>
          <w:tcPr>
            <w:tcW w:type="dxa" w:w="4176"/>
          </w:tcPr>
          <w:p>
            <w:r>
              <w:t>Software-in-the-Loop (SIL) / Processor-in-the-Loop (PIL) test results, generated C-code review, MISRA-C static analysis report</w:t>
            </w:r>
          </w:p>
        </w:tc>
      </w:tr>
      <w:tr>
        <w:tc>
          <w:tcPr>
            <w:tcW w:type="dxa" w:w="2880"/>
          </w:tcPr>
          <w:p>
            <w:r>
              <w:t>SWE.6 Software Qualification Test</w:t>
            </w:r>
          </w:p>
        </w:tc>
        <w:tc>
          <w:tcPr>
            <w:tcW w:type="dxa" w:w="2304"/>
          </w:tcPr>
          <w:p>
            <w:r>
              <w:t>Qualification test</w:t>
            </w:r>
          </w:p>
        </w:tc>
        <w:tc>
          <w:tcPr>
            <w:tcW w:type="dxa" w:w="4176"/>
          </w:tcPr>
          <w:p>
            <w:r>
              <w:t>Hardware-in-the-Loop (HIL) test results, requirement-based test closure report, final traceability sign-off (req → model → code → test)</w:t>
            </w:r>
          </w:p>
        </w:tc>
      </w:tr>
    </w:tbl>
    <w:p>
      <w:r>
        <w:rPr>
          <w:b w:val="0"/>
        </w:rPr>
        <w:t>For the simulator, each program stage (see the Program Stage Taxonomy document) should be capable of reporting which SWE.x work products are complete, in-progress, or not started, so that ASPICE process-capability status can be derived automatically from stage/artifact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