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Program Stage Taxonomy</w:t>
      </w:r>
    </w:p>
    <w:p>
      <w:r>
        <w:rPr>
          <w:i/>
          <w:color w:val="555555"/>
          <w:sz w:val="22"/>
        </w:rPr>
        <w:t>Simulator input field · 12 discrete program stages with entry activity and exit criterion</w:t>
      </w:r>
    </w:p>
    <w:p>
      <w:r>
        <w:rPr>
          <w:b w:val="0"/>
        </w:rPr>
        <w:t>This is the suggested set of discrete stage values the agentic simulator can expose as a program-progress input/dropdown per project. Each stage has a clear entry activity and exit criterion so 'how far along the program is' can be captured as a single categorical field (optionally paired with a 0–100% completion slider within the active stage).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230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Typical Activity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Exit Criterion</w:t>
            </w:r>
          </w:p>
        </w:tc>
      </w:tr>
      <w:tr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2304"/>
          </w:tcPr>
          <w:p>
            <w:r>
              <w:t>Requirements Definition</w:t>
            </w:r>
          </w:p>
        </w:tc>
        <w:tc>
          <w:tcPr>
            <w:tcW w:type="dxa" w:w="3600"/>
          </w:tcPr>
          <w:p>
            <w:r>
              <w:t>Draft, review, and baseline REQ-xxx set; SLDD signal list defined; stakeholder sign-off</w:t>
            </w:r>
          </w:p>
        </w:tc>
        <w:tc>
          <w:tcPr>
            <w:tcW w:type="dxa" w:w="3024"/>
          </w:tcPr>
          <w:p>
            <w:r>
              <w:t>Requirement doc reviewed &amp; approved; traceability IDs assigned</w:t>
            </w:r>
          </w:p>
        </w:tc>
      </w:tr>
      <w:tr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2304"/>
          </w:tcPr>
          <w:p>
            <w:r>
              <w:t>Architecture &amp; ASIL/QM Allocation</w:t>
            </w:r>
          </w:p>
        </w:tc>
        <w:tc>
          <w:tcPr>
            <w:tcW w:type="dxa" w:w="3600"/>
          </w:tcPr>
          <w:p>
            <w:r>
              <w:t>Subsystem partitioning, interface definition, S/E/C rated and ASIL (or QM) allocated per requirement/subsystem</w:t>
            </w:r>
          </w:p>
        </w:tc>
        <w:tc>
          <w:tcPr>
            <w:tcW w:type="dxa" w:w="3024"/>
          </w:tcPr>
          <w:p>
            <w:r>
              <w:t>Architecture diagram + allocation table approved</w:t>
            </w:r>
          </w:p>
        </w:tc>
      </w:tr>
      <w:tr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2304"/>
          </w:tcPr>
          <w:p>
            <w:r>
              <w:t>Model Design (MBD)</w:t>
            </w:r>
          </w:p>
        </w:tc>
        <w:tc>
          <w:tcPr>
            <w:tcW w:type="dxa" w:w="3600"/>
          </w:tcPr>
          <w:p>
            <w:r>
              <w:t>Simulink / Stateflow subsystem construction per architecture; naming &amp; style guide applied</w:t>
            </w:r>
          </w:p>
        </w:tc>
        <w:tc>
          <w:tcPr>
            <w:tcW w:type="dxa" w:w="3024"/>
          </w:tcPr>
          <w:p>
            <w:r>
              <w:t>Model builds clean; no unresolved TODOs</w:t>
            </w:r>
          </w:p>
        </w:tc>
      </w:tr>
      <w:tr>
        <w:tc>
          <w:tcPr>
            <w:tcW w:type="dxa" w:w="432"/>
          </w:tcPr>
          <w:p>
            <w:r>
              <w:t>4</w:t>
            </w:r>
          </w:p>
        </w:tc>
        <w:tc>
          <w:tcPr>
            <w:tcW w:type="dxa" w:w="2304"/>
          </w:tcPr>
          <w:p>
            <w:r>
              <w:t>SLDD &amp; AUTOSAR Interface Mapping</w:t>
            </w:r>
          </w:p>
        </w:tc>
        <w:tc>
          <w:tcPr>
            <w:tcW w:type="dxa" w:w="3600"/>
          </w:tcPr>
          <w:p>
            <w:r>
              <w:t>SLDD created &amp; linked; signals mapped to AUTOSAR Editor S-R interfaces (where AUTOSAR Coder is the target profile)</w:t>
            </w:r>
          </w:p>
        </w:tc>
        <w:tc>
          <w:tcPr>
            <w:tcW w:type="dxa" w:w="3024"/>
          </w:tcPr>
          <w:p>
            <w:r>
              <w:t>SLDD linked; all signals resolved in AUTOSAR Editor with no unmapped ports</w:t>
            </w:r>
          </w:p>
        </w:tc>
      </w:tr>
      <w:tr>
        <w:tc>
          <w:tcPr>
            <w:tcW w:type="dxa" w:w="432"/>
          </w:tcPr>
          <w:p>
            <w:r>
              <w:t>5</w:t>
            </w:r>
          </w:p>
        </w:tc>
        <w:tc>
          <w:tcPr>
            <w:tcW w:type="dxa" w:w="2304"/>
          </w:tcPr>
          <w:p>
            <w:r>
              <w:t>Model Advisor / Static Checks</w:t>
            </w:r>
          </w:p>
        </w:tc>
        <w:tc>
          <w:tcPr>
            <w:tcW w:type="dxa" w:w="3600"/>
          </w:tcPr>
          <w:p>
            <w:r>
              <w:t>MBD compliance checks (MAAB/JMAAB), MISRA guideline checks on model, Model Advisor report</w:t>
            </w:r>
          </w:p>
        </w:tc>
        <w:tc>
          <w:tcPr>
            <w:tcW w:type="dxa" w:w="3024"/>
          </w:tcPr>
          <w:p>
            <w:r>
              <w:t>Zero Model Advisor errors; warnings dispositioned</w:t>
            </w:r>
          </w:p>
        </w:tc>
      </w:tr>
      <w:tr>
        <w:tc>
          <w:tcPr>
            <w:tcW w:type="dxa" w:w="432"/>
          </w:tcPr>
          <w:p>
            <w:r>
              <w:t>6</w:t>
            </w:r>
          </w:p>
        </w:tc>
        <w:tc>
          <w:tcPr>
            <w:tcW w:type="dxa" w:w="2304"/>
          </w:tcPr>
          <w:p>
            <w:r>
              <w:t>Model-in-the-Loop (MIL) Test</w:t>
            </w:r>
          </w:p>
        </w:tc>
        <w:tc>
          <w:tcPr>
            <w:tcW w:type="dxa" w:w="3600"/>
          </w:tcPr>
          <w:p>
            <w:r>
              <w:t>Requirement-based test cases executed against the model in simulation</w:t>
            </w:r>
          </w:p>
        </w:tc>
        <w:tc>
          <w:tcPr>
            <w:tcW w:type="dxa" w:w="3024"/>
          </w:tcPr>
          <w:p>
            <w:r>
              <w:t>≥ required requirement coverage; MC/DC for ASIL C/D elements</w:t>
            </w:r>
          </w:p>
        </w:tc>
      </w:tr>
      <w:tr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2304"/>
          </w:tcPr>
          <w:p>
            <w:r>
              <w:t>Code Generation</w:t>
            </w:r>
          </w:p>
        </w:tc>
        <w:tc>
          <w:tcPr>
            <w:tcW w:type="dxa" w:w="3600"/>
          </w:tcPr>
          <w:p>
            <w:r>
              <w:t>AUTOSAR Coder / Embedded Coder production code generation; code-to-model traceability report</w:t>
            </w:r>
          </w:p>
        </w:tc>
        <w:tc>
          <w:tcPr>
            <w:tcW w:type="dxa" w:w="3024"/>
          </w:tcPr>
          <w:p>
            <w:r>
              <w:t>Code generated with zero blocking errors; traceability report archived</w:t>
            </w:r>
          </w:p>
        </w:tc>
      </w:tr>
      <w:tr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2304"/>
          </w:tcPr>
          <w:p>
            <w:r>
              <w:t>Software-in-the-Loop / Processor-in-the-Loop (SIL/PIL)</w:t>
            </w:r>
          </w:p>
        </w:tc>
        <w:tc>
          <w:tcPr>
            <w:tcW w:type="dxa" w:w="3600"/>
          </w:tcPr>
          <w:p>
            <w:r>
              <w:t>Generated code executed in host / target-processor simulation against same test cases as MIL</w:t>
            </w:r>
          </w:p>
        </w:tc>
        <w:tc>
          <w:tcPr>
            <w:tcW w:type="dxa" w:w="3024"/>
          </w:tcPr>
          <w:p>
            <w:r>
              <w:t>Back-to-back MIL vs SIL/PIL numerical equivalence within tolerance</w:t>
            </w:r>
          </w:p>
        </w:tc>
      </w:tr>
      <w:tr>
        <w:tc>
          <w:tcPr>
            <w:tcW w:type="dxa" w:w="432"/>
          </w:tcPr>
          <w:p>
            <w:r>
              <w:t>9</w:t>
            </w:r>
          </w:p>
        </w:tc>
        <w:tc>
          <w:tcPr>
            <w:tcW w:type="dxa" w:w="2304"/>
          </w:tcPr>
          <w:p>
            <w:r>
              <w:t>Static Code Analysis</w:t>
            </w:r>
          </w:p>
        </w:tc>
        <w:tc>
          <w:tcPr>
            <w:tcW w:type="dxa" w:w="3600"/>
          </w:tcPr>
          <w:p>
            <w:r>
              <w:t>MISRA-C:2012 compliance scan, code metrics, review of generated code deviations</w:t>
            </w:r>
          </w:p>
        </w:tc>
        <w:tc>
          <w:tcPr>
            <w:tcW w:type="dxa" w:w="3024"/>
          </w:tcPr>
          <w:p>
            <w:r>
              <w:t>No mandatory MISRA violations open; deviations documented &amp; approved</w:t>
            </w:r>
          </w:p>
        </w:tc>
      </w:tr>
      <w:tr>
        <w:tc>
          <w:tcPr>
            <w:tcW w:type="dxa" w:w="432"/>
          </w:tcPr>
          <w:p>
            <w:r>
              <w:t>10</w:t>
            </w:r>
          </w:p>
        </w:tc>
        <w:tc>
          <w:tcPr>
            <w:tcW w:type="dxa" w:w="2304"/>
          </w:tcPr>
          <w:p>
            <w:r>
              <w:t>Hardware-in-the-Loop (HIL) Test</w:t>
            </w:r>
          </w:p>
        </w:tc>
        <w:tc>
          <w:tcPr>
            <w:tcW w:type="dxa" w:w="3600"/>
          </w:tcPr>
          <w:p>
            <w:r>
              <w:t>Integration test on target ECU/HIL rig with plant + fault-injection scenarios</w:t>
            </w:r>
          </w:p>
        </w:tc>
        <w:tc>
          <w:tcPr>
            <w:tcW w:type="dxa" w:w="3024"/>
          </w:tcPr>
          <w:p>
            <w:r>
              <w:t>Requirement-based HIL test cases pass; safety mechanisms verified</w:t>
            </w:r>
          </w:p>
        </w:tc>
      </w:tr>
      <w:tr>
        <w:tc>
          <w:tcPr>
            <w:tcW w:type="dxa" w:w="432"/>
          </w:tcPr>
          <w:p>
            <w:r>
              <w:t>11</w:t>
            </w:r>
          </w:p>
        </w:tc>
        <w:tc>
          <w:tcPr>
            <w:tcW w:type="dxa" w:w="2304"/>
          </w:tcPr>
          <w:p>
            <w:r>
              <w:t>Verification &amp; Validation Closure</w:t>
            </w:r>
          </w:p>
        </w:tc>
        <w:tc>
          <w:tcPr>
            <w:tcW w:type="dxa" w:w="3600"/>
          </w:tcPr>
          <w:p>
            <w:r>
              <w:t>Full req → model → code → test traceability matrix closed; safety case / quality-record artifacts compiled</w:t>
            </w:r>
          </w:p>
        </w:tc>
        <w:tc>
          <w:tcPr>
            <w:tcW w:type="dxa" w:w="3024"/>
          </w:tcPr>
          <w:p>
            <w:r>
              <w:t>100% requirement traceability closure; open items dispositioned</w:t>
            </w:r>
          </w:p>
        </w:tc>
      </w:tr>
      <w:tr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2304"/>
          </w:tcPr>
          <w:p>
            <w:r>
              <w:t>Release / Sign-off</w:t>
            </w:r>
          </w:p>
        </w:tc>
        <w:tc>
          <w:tcPr>
            <w:tcW w:type="dxa" w:w="3600"/>
          </w:tcPr>
          <w:p>
            <w:r>
              <w:t>Configuration baseline frozen, ASPICE work products archived, release note issued</w:t>
            </w:r>
          </w:p>
        </w:tc>
        <w:tc>
          <w:tcPr>
            <w:tcW w:type="dxa" w:w="3024"/>
          </w:tcPr>
          <w:p>
            <w:r>
              <w:t>Program stakeholder + safety sign-off recorded</w:t>
            </w:r>
          </w:p>
        </w:tc>
      </w:tr>
    </w:tbl>
    <w:p>
      <w:r>
        <w:rPr>
          <w:b w:val="0"/>
        </w:rPr>
        <w:t>Note: Recommended simulator field — Stage (single-select, 1–12 above) + Stage Completion % (0–100). Optionally add a Blocked flag (Y/N) with free-text reason, since ASPICE/ISO reviews commonly stall a stage on open non-conformances rather than moving cleanly to the next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