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Simulink Model Architecture</w:t>
      </w:r>
    </w:p>
    <w:p>
      <w:r>
        <w:rPr>
          <w:i/>
          <w:color w:val="555555"/>
          <w:sz w:val="22"/>
        </w:rPr>
        <w:t>Repository Structure &amp; Per-Feature Subsystem Breakdown (ACC · HA-LCA · VDD)</w:t>
      </w:r>
    </w:p>
    <w:p>
      <w:r>
        <w:rPr>
          <w:b w:val="0"/>
        </w:rPr>
        <w:t>Project files shared across email as attachments (zip files).</w:t>
      </w:r>
    </w:p>
    <w:p>
      <w:pPr>
        <w:pStyle w:val="Heading1"/>
      </w:pPr>
      <w:r>
        <w:t>1. Recommended Repository Layout (per project)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Folder / File</w:t>
            </w:r>
          </w:p>
        </w:tc>
        <w:tc>
          <w:tcPr>
            <w:tcW w:type="dxa" w:w="5904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3456"/>
          </w:tcPr>
          <w:p>
            <w:r>
              <w:t>/Requirements/</w:t>
            </w:r>
          </w:p>
        </w:tc>
        <w:tc>
          <w:tcPr>
            <w:tcW w:type="dxa" w:w="5904"/>
          </w:tcPr>
          <w:p>
            <w:r>
              <w:t>REQ-xxx.xlsx or .docx, Simulink Requirements linkset (.slreqx)</w:t>
            </w:r>
          </w:p>
        </w:tc>
      </w:tr>
      <w:tr>
        <w:tc>
          <w:tcPr>
            <w:tcW w:type="dxa" w:w="3456"/>
          </w:tcPr>
          <w:p>
            <w:r>
              <w:t>/Model/&lt;Feature&gt;_TopModel.slx</w:t>
            </w:r>
          </w:p>
        </w:tc>
        <w:tc>
          <w:tcPr>
            <w:tcW w:type="dxa" w:w="5904"/>
          </w:tcPr>
          <w:p>
            <w:r>
              <w:t>Top-level architecture model – subsystem partitioning only</w:t>
            </w:r>
          </w:p>
        </w:tc>
      </w:tr>
      <w:tr>
        <w:tc>
          <w:tcPr>
            <w:tcW w:type="dxa" w:w="3456"/>
          </w:tcPr>
          <w:p>
            <w:r>
              <w:t>/Model/Subsystems/</w:t>
            </w:r>
          </w:p>
        </w:tc>
        <w:tc>
          <w:tcPr>
            <w:tcW w:type="dxa" w:w="5904"/>
          </w:tcPr>
          <w:p>
            <w:r>
              <w:t>One .slx or model-reference per subsystem (see 2 – 4)</w:t>
            </w:r>
          </w:p>
        </w:tc>
      </w:tr>
      <w:tr>
        <w:tc>
          <w:tcPr>
            <w:tcW w:type="dxa" w:w="3456"/>
          </w:tcPr>
          <w:p>
            <w:r>
              <w:t>/Model/&lt;Feature&gt;.sldd</w:t>
            </w:r>
          </w:p>
        </w:tc>
        <w:tc>
          <w:tcPr>
            <w:tcW w:type="dxa" w:w="5904"/>
          </w:tcPr>
          <w:p>
            <w:r>
              <w:t>Simulink Data Dictionary – signals, parameters, enums</w:t>
            </w:r>
          </w:p>
        </w:tc>
      </w:tr>
      <w:tr>
        <w:tc>
          <w:tcPr>
            <w:tcW w:type="dxa" w:w="3456"/>
          </w:tcPr>
          <w:p>
            <w:r>
              <w:t>/AUTOSAR/</w:t>
            </w:r>
          </w:p>
        </w:tc>
        <w:tc>
          <w:tcPr>
            <w:tcW w:type="dxa" w:w="5904"/>
          </w:tcPr>
          <w:p>
            <w:r>
              <w:t>AUTOSAR Editor S-R interface mapping (.arxml), component description</w:t>
            </w:r>
          </w:p>
        </w:tc>
      </w:tr>
      <w:tr>
        <w:tc>
          <w:tcPr>
            <w:tcW w:type="dxa" w:w="3456"/>
          </w:tcPr>
          <w:p>
            <w:r>
              <w:t>/Tests/MIL/</w:t>
            </w:r>
          </w:p>
        </w:tc>
        <w:tc>
          <w:tcPr>
            <w:tcW w:type="dxa" w:w="5904"/>
          </w:tcPr>
          <w:p>
            <w:r>
              <w:t>Model-in-the-Loop test harness + .mldatx test cases</w:t>
            </w:r>
          </w:p>
        </w:tc>
      </w:tr>
      <w:tr>
        <w:tc>
          <w:tcPr>
            <w:tcW w:type="dxa" w:w="3456"/>
          </w:tcPr>
          <w:p>
            <w:r>
              <w:t>/Tests/SIL_PIL/</w:t>
            </w:r>
          </w:p>
        </w:tc>
        <w:tc>
          <w:tcPr>
            <w:tcW w:type="dxa" w:w="5904"/>
          </w:tcPr>
          <w:p>
            <w:r>
              <w:t>SIL/PIL harness, back-to-back comparison scripts</w:t>
            </w:r>
          </w:p>
        </w:tc>
      </w:tr>
      <w:tr>
        <w:tc>
          <w:tcPr>
            <w:tcW w:type="dxa" w:w="3456"/>
          </w:tcPr>
          <w:p>
            <w:r>
              <w:t>/CodeGen/</w:t>
            </w:r>
          </w:p>
        </w:tc>
        <w:tc>
          <w:tcPr>
            <w:tcW w:type="dxa" w:w="5904"/>
          </w:tcPr>
          <w:p>
            <w:r>
              <w:t>AUTOSAR Coder / Embedded Coder output, code generation report, traceability report</w:t>
            </w:r>
          </w:p>
        </w:tc>
      </w:tr>
      <w:tr>
        <w:tc>
          <w:tcPr>
            <w:tcW w:type="dxa" w:w="3456"/>
          </w:tcPr>
          <w:p>
            <w:r>
              <w:t>/StaticAnalysis/</w:t>
            </w:r>
          </w:p>
        </w:tc>
        <w:tc>
          <w:tcPr>
            <w:tcW w:type="dxa" w:w="5904"/>
          </w:tcPr>
          <w:p>
            <w:r>
              <w:t>Model Advisor report (MAAB), MISRA-C static analysis report</w:t>
            </w:r>
          </w:p>
        </w:tc>
      </w:tr>
      <w:tr>
        <w:tc>
          <w:tcPr>
            <w:tcW w:type="dxa" w:w="3456"/>
          </w:tcPr>
          <w:p>
            <w:r>
              <w:t>/Docs/</w:t>
            </w:r>
          </w:p>
        </w:tc>
        <w:tc>
          <w:tcPr>
            <w:tcW w:type="dxa" w:w="5904"/>
          </w:tcPr>
          <w:p>
            <w:r>
              <w:t>Architecture diagram, ASIL/QM allocation table, release notes</w:t>
            </w:r>
          </w:p>
        </w:tc>
      </w:tr>
    </w:tbl>
    <w:p>
      <w:pPr>
        <w:pStyle w:val="Heading1"/>
      </w:pPr>
      <w:r>
        <w:t>2. ACC — Subsystem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I/O</w:t>
            </w:r>
          </w:p>
        </w:tc>
      </w:tr>
      <w:tr>
        <w:tc>
          <w:tcPr>
            <w:tcW w:type="dxa" w:w="3168"/>
          </w:tcPr>
          <w:p>
            <w:r>
              <w:t>Driver Input Handler</w:t>
            </w:r>
          </w:p>
        </w:tc>
        <w:tc>
          <w:tcPr>
            <w:tcW w:type="dxa" w:w="3456"/>
          </w:tcPr>
          <w:p>
            <w:r>
              <w:t>Set-speed, resume, cancel, time-gap selection</w:t>
            </w:r>
          </w:p>
        </w:tc>
        <w:tc>
          <w:tcPr>
            <w:tcW w:type="dxa" w:w="2880"/>
          </w:tcPr>
          <w:p>
            <w:r>
              <w:t>In: SetSpeed_Req_kph, TimeGap_Setting_s</w:t>
            </w:r>
          </w:p>
        </w:tc>
      </w:tr>
      <w:tr>
        <w:tc>
          <w:tcPr>
            <w:tcW w:type="dxa" w:w="3168"/>
          </w:tcPr>
          <w:p>
            <w:r>
              <w:t>Lead Vehicle Tracker</w:t>
            </w:r>
          </w:p>
        </w:tc>
        <w:tc>
          <w:tcPr>
            <w:tcW w:type="dxa" w:w="3456"/>
          </w:tcPr>
          <w:p>
            <w:r>
              <w:t>Validates and tracks lead-object range / rel-vel</w:t>
            </w:r>
          </w:p>
        </w:tc>
        <w:tc>
          <w:tcPr>
            <w:tcW w:type="dxa" w:w="2880"/>
          </w:tcPr>
          <w:p>
            <w:r>
              <w:t>In: LeadVehicle_Range_m, LeadVehicle_RelVel_mps</w:t>
            </w:r>
          </w:p>
        </w:tc>
      </w:tr>
      <w:tr>
        <w:tc>
          <w:tcPr>
            <w:tcW w:type="dxa" w:w="3168"/>
          </w:tcPr>
          <w:p>
            <w:r>
              <w:t>Longitudinal Controller (Speed Mode)</w:t>
            </w:r>
          </w:p>
        </w:tc>
        <w:tc>
          <w:tcPr>
            <w:tcW w:type="dxa" w:w="3456"/>
          </w:tcPr>
          <w:p>
            <w:r>
              <w:t>PID control to SetSpeed_Req_kph</w:t>
            </w:r>
          </w:p>
        </w:tc>
        <w:tc>
          <w:tcPr>
            <w:tcW w:type="dxa" w:w="2880"/>
          </w:tcPr>
          <w:p>
            <w:r>
              <w:t>Out: ThrottleTorque_Req_Nm</w:t>
            </w:r>
          </w:p>
        </w:tc>
      </w:tr>
      <w:tr>
        <w:tc>
          <w:tcPr>
            <w:tcW w:type="dxa" w:w="3168"/>
          </w:tcPr>
          <w:p>
            <w:r>
              <w:t>Longitudinal Controller (Gap Mode)</w:t>
            </w:r>
          </w:p>
        </w:tc>
        <w:tc>
          <w:tcPr>
            <w:tcW w:type="dxa" w:w="3456"/>
          </w:tcPr>
          <w:p>
            <w:r>
              <w:t>Time-gap following control</w:t>
            </w:r>
          </w:p>
        </w:tc>
        <w:tc>
          <w:tcPr>
            <w:tcW w:type="dxa" w:w="2880"/>
          </w:tcPr>
          <w:p>
            <w:r>
              <w:t>Out: Accel_Req_mps2</w:t>
            </w:r>
          </w:p>
        </w:tc>
      </w:tr>
      <w:tr>
        <w:tc>
          <w:tcPr>
            <w:tcW w:type="dxa" w:w="3168"/>
          </w:tcPr>
          <w:p>
            <w:r>
              <w:t>ACC State Machine (Stateflow)</w:t>
            </w:r>
          </w:p>
        </w:tc>
        <w:tc>
          <w:tcPr>
            <w:tcW w:type="dxa" w:w="3456"/>
          </w:tcPr>
          <w:p>
            <w:r>
              <w:t>OFF/STANDBY/ACTIVE/OVERRIDE transitions</w:t>
            </w:r>
          </w:p>
        </w:tc>
        <w:tc>
          <w:tcPr>
            <w:tcW w:type="dxa" w:w="2880"/>
          </w:tcPr>
          <w:p>
            <w:r>
              <w:t>Out: ACC_State</w:t>
            </w:r>
          </w:p>
        </w:tc>
      </w:tr>
      <w:tr>
        <w:tc>
          <w:tcPr>
            <w:tcW w:type="dxa" w:w="3168"/>
          </w:tcPr>
          <w:p>
            <w:r>
              <w:t>Comfort Limiter</w:t>
            </w:r>
          </w:p>
        </w:tc>
        <w:tc>
          <w:tcPr>
            <w:tcW w:type="dxa" w:w="3456"/>
          </w:tcPr>
          <w:p>
            <w:r>
              <w:t>Clamps accel/decel to comfort bounds</w:t>
            </w:r>
          </w:p>
        </w:tc>
        <w:tc>
          <w:tcPr>
            <w:tcW w:type="dxa" w:w="2880"/>
          </w:tcPr>
          <w:p>
            <w:r>
              <w:t>Out: Accel_Req_mps2 (bounded)</w:t>
            </w:r>
          </w:p>
        </w:tc>
      </w:tr>
    </w:tbl>
    <w:p>
      <w:pPr>
        <w:pStyle w:val="Heading1"/>
      </w:pPr>
      <w:r>
        <w:t>3. HA-LCA — Subsystem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360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Key I/O</w:t>
            </w:r>
          </w:p>
        </w:tc>
      </w:tr>
      <w:tr>
        <w:tc>
          <w:tcPr>
            <w:tcW w:type="dxa" w:w="2592"/>
          </w:tcPr>
          <w:p>
            <w:r>
              <w:t>Highway_DisplayUnit (Stateflow)</w:t>
            </w:r>
          </w:p>
        </w:tc>
        <w:tc>
          <w:tcPr>
            <w:tcW w:type="dxa" w:w="3600"/>
          </w:tcPr>
          <w:p>
            <w:r>
              <w:t>Condition/action logic mapping Highway_Input_Signal + Enable_Display + Input_Switch to Highway_Display_Mode_1–4</w:t>
            </w:r>
          </w:p>
        </w:tc>
        <w:tc>
          <w:tcPr>
            <w:tcW w:type="dxa" w:w="3312"/>
          </w:tcPr>
          <w:p>
            <w:r>
              <w:t>In: Highway_Input_Signal, Enable_Display, Input_Switch → Out: Highway_Display_Mode_1–4</w:t>
            </w:r>
          </w:p>
        </w:tc>
      </w:tr>
      <w:tr>
        <w:tc>
          <w:tcPr>
            <w:tcW w:type="dxa" w:w="2592"/>
          </w:tcPr>
          <w:p>
            <w:r>
              <w:t>Lane_DisplayUnit (Stateflow)</w:t>
            </w:r>
          </w:p>
        </w:tc>
        <w:tc>
          <w:tcPr>
            <w:tcW w:type="dxa" w:w="3600"/>
          </w:tcPr>
          <w:p>
            <w:r>
              <w:t>Condition/action logic mapping Lane_Input_Signal + Enable_Display + Input_Switch to Lane_Display_Mode_1–4</w:t>
            </w:r>
          </w:p>
        </w:tc>
        <w:tc>
          <w:tcPr>
            <w:tcW w:type="dxa" w:w="3312"/>
          </w:tcPr>
          <w:p>
            <w:r>
              <w:t>In: Lane_Input_Signal, Enable_Display, Input_Switch → Out: Lane_Display_Mode_1–4</w:t>
            </w:r>
          </w:p>
        </w:tc>
      </w:tr>
      <w:tr>
        <w:tc>
          <w:tcPr>
            <w:tcW w:type="dxa" w:w="2592"/>
          </w:tcPr>
          <w:p>
            <w:r>
              <w:t>Display Path Arbitration (Switch × 4)</w:t>
            </w:r>
          </w:p>
        </w:tc>
        <w:tc>
          <w:tcPr>
            <w:tcW w:type="dxa" w:w="3600"/>
          </w:tcPr>
          <w:p>
            <w:r>
              <w:t>Selects Highway vs. Lane display value per output, controlled by Highway_Input_Signal</w:t>
            </w:r>
          </w:p>
        </w:tc>
        <w:tc>
          <w:tcPr>
            <w:tcW w:type="dxa" w:w="3312"/>
          </w:tcPr>
          <w:p>
            <w:r>
              <w:t>In: Highway/Lane_Display_Mode_1–4 → Out: Display_Mode_1–4</w:t>
            </w:r>
          </w:p>
        </w:tc>
      </w:tr>
      <w:tr>
        <w:tc>
          <w:tcPr>
            <w:tcW w:type="dxa" w:w="2592"/>
          </w:tcPr>
          <w:p>
            <w:r>
              <w:t>AUTOSAR RTE Interface Layer</w:t>
            </w:r>
          </w:p>
        </w:tc>
        <w:tc>
          <w:tcPr>
            <w:tcW w:type="dxa" w:w="3600"/>
          </w:tcPr>
          <w:p>
            <w:r>
              <w:t>Maps model ports to Rte_IRead_… / Rte_IWrite_… calls per AUTOSAR S-R interfaces</w:t>
            </w:r>
          </w:p>
        </w:tc>
        <w:tc>
          <w:tcPr>
            <w:tcW w:type="dxa" w:w="3312"/>
          </w:tcPr>
          <w:p>
            <w:r>
              <w:t>Generated by AUTOSAR Coder from AUTOSAR Editor mapping</w:t>
            </w:r>
          </w:p>
        </w:tc>
      </w:tr>
    </w:tbl>
    <w:p>
      <w:pPr>
        <w:pStyle w:val="Heading1"/>
      </w:pPr>
      <w:r>
        <w:t>4. VDD — Subsystem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360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Key I/O</w:t>
            </w:r>
          </w:p>
        </w:tc>
      </w:tr>
      <w:tr>
        <w:tc>
          <w:tcPr>
            <w:tcW w:type="dxa" w:w="2880"/>
          </w:tcPr>
          <w:p>
            <w:r>
              <w:t>Steering Direction Classification (Switch blocks)</w:t>
            </w:r>
          </w:p>
        </w:tc>
        <w:tc>
          <w:tcPr>
            <w:tcW w:type="dxa" w:w="3600"/>
          </w:tcPr>
          <w:p>
            <w:r>
              <w:t>Compares SteeringWheel_YawDegreeInput against Right_Turn_AngularLimit / Left_Turn_AngularLimit / Straight_Drive_Steering_Angle</w:t>
            </w:r>
          </w:p>
        </w:tc>
        <w:tc>
          <w:tcPr>
            <w:tcW w:type="dxa" w:w="3024"/>
          </w:tcPr>
          <w:p>
            <w:r>
              <w:t>In: SteeringWheel_YawDegreeInput → Out: Vehicle_Turn_Status</w:t>
            </w:r>
          </w:p>
        </w:tc>
      </w:tr>
      <w:tr>
        <w:tc>
          <w:tcPr>
            <w:tcW w:type="dxa" w:w="2880"/>
          </w:tcPr>
          <w:p>
            <w:r>
              <w:t>Road Sign Confirmation (Compare + Logical Operator)</w:t>
            </w:r>
          </w:p>
        </w:tc>
        <w:tc>
          <w:tcPr>
            <w:tcW w:type="dxa" w:w="3600"/>
          </w:tcPr>
          <w:p>
            <w:r>
              <w:t>Compares Vehicle_Turn_Status against RightTurn_RoadSign / LeftTurn_RoadSign / Straight_RoadSign, cross-checks against CameraInput_RoadSign, resolves single output</w:t>
            </w:r>
          </w:p>
        </w:tc>
        <w:tc>
          <w:tcPr>
            <w:tcW w:type="dxa" w:w="3024"/>
          </w:tcPr>
          <w:p>
            <w:r>
              <w:t>In: Vehicle_Turn_Status, CameraInput_RoadSign → Out: Vehicle_Direction_Indicator</w:t>
            </w:r>
          </w:p>
        </w:tc>
      </w:tr>
    </w:tbl>
    <w:p>
      <w:r>
        <w:rPr>
          <w:b w:val="0"/>
        </w:rPr>
        <w:t>Requirement 1 and Requirement 2 map 1:1 to these two subsystems, matching the tagging expectation stated in the mini-project brief. Code generation storage classes (if exercised): Input → ImportedExtern, Output → ExportToFile, Local → Localizable, Calibration → Const; sample time 0.01 s for all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