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42B0" w14:textId="77777777" w:rsidR="00A15C53" w:rsidRPr="00A15C53" w:rsidRDefault="00A15C53" w:rsidP="00A15C53">
      <w:r w:rsidRPr="00A15C53">
        <w:t>Decimal Point Analytics participated in the NAGGL 2025 Annual Conference at The Broadmoor, Colorado Springs. Representing DPA were Eric Yuen, Gaurav Gupta, and Nilanjan Das, who engaged with SBA lending leaders, underwriting heads, and technology partners throughout the three-day event.</w:t>
      </w:r>
    </w:p>
    <w:p w14:paraId="30591821" w14:textId="77777777" w:rsidR="00A15C53" w:rsidRPr="00A15C53" w:rsidRDefault="00A15C53" w:rsidP="00A15C53">
      <w:r w:rsidRPr="00A15C53">
        <w:t> </w:t>
      </w:r>
    </w:p>
    <w:p w14:paraId="64FF7AAF" w14:textId="77777777" w:rsidR="00A15C53" w:rsidRPr="00A15C53" w:rsidRDefault="00A15C53" w:rsidP="00A15C53">
      <w:pPr>
        <w:rPr>
          <w:b/>
          <w:bCs/>
        </w:rPr>
      </w:pPr>
      <w:r w:rsidRPr="00A15C53">
        <w:rPr>
          <w:b/>
          <w:bCs/>
        </w:rPr>
        <w:t>Key themes discussed included:</w:t>
      </w:r>
    </w:p>
    <w:p w14:paraId="38127D77" w14:textId="77777777" w:rsidR="00A15C53" w:rsidRPr="00A15C53" w:rsidRDefault="00A15C53" w:rsidP="00A15C53">
      <w:r w:rsidRPr="00A15C53">
        <w:t>-AI and automation in SBA underwriting</w:t>
      </w:r>
    </w:p>
    <w:p w14:paraId="38641BAB" w14:textId="77777777" w:rsidR="00A15C53" w:rsidRPr="00A15C53" w:rsidRDefault="00A15C53" w:rsidP="00A15C53">
      <w:r w:rsidRPr="00A15C53">
        <w:t>-Improving turnaround time and loan accuracy</w:t>
      </w:r>
    </w:p>
    <w:p w14:paraId="73863600" w14:textId="77777777" w:rsidR="00A15C53" w:rsidRPr="00A15C53" w:rsidRDefault="00A15C53" w:rsidP="00A15C53">
      <w:r w:rsidRPr="00A15C53">
        <w:t>-Ensuring compliance and audit readiness</w:t>
      </w:r>
    </w:p>
    <w:p w14:paraId="7ED297C1" w14:textId="77777777" w:rsidR="00A15C53" w:rsidRPr="00A15C53" w:rsidRDefault="00A15C53" w:rsidP="00A15C53">
      <w:r w:rsidRPr="00A15C53">
        <w:t>-Streamlining high-volume lending operations</w:t>
      </w:r>
      <w:r w:rsidRPr="00A15C53">
        <w:br/>
        <w:t>-Building scalable, intelligent lending workflows</w:t>
      </w:r>
      <w:r w:rsidRPr="00A15C53">
        <w:br/>
      </w:r>
      <w:r w:rsidRPr="00A15C53">
        <w:br/>
      </w:r>
      <w:r w:rsidRPr="00A15C53">
        <w:rPr>
          <w:b/>
          <w:bCs/>
        </w:rPr>
        <w:t>Our SBA Lending Services &amp; Tools:</w:t>
      </w:r>
    </w:p>
    <w:p w14:paraId="7014CDC2" w14:textId="77777777" w:rsidR="00A15C53" w:rsidRPr="00A15C53" w:rsidRDefault="00A15C53" w:rsidP="00A15C53">
      <w:r w:rsidRPr="00A15C53">
        <w:t>Decimal Point Analytics supports financial institutions with end-to-end SBA lending services, powered by advanced automation and intelligent workflows. Our solutions include:</w:t>
      </w:r>
    </w:p>
    <w:p w14:paraId="6926750C" w14:textId="77777777" w:rsidR="00A15C53" w:rsidRPr="00A15C53" w:rsidRDefault="00A15C53" w:rsidP="00A15C53">
      <w:pPr>
        <w:numPr>
          <w:ilvl w:val="0"/>
          <w:numId w:val="1"/>
        </w:numPr>
      </w:pPr>
      <w:proofErr w:type="spellStart"/>
      <w:r w:rsidRPr="00A15C53">
        <w:rPr>
          <w:b/>
          <w:bCs/>
        </w:rPr>
        <w:t>DocuAgentIQ</w:t>
      </w:r>
      <w:proofErr w:type="spellEnd"/>
      <w:r w:rsidRPr="00A15C53">
        <w:t xml:space="preserve"> – AI-driven document intelligence for faster, accurate SBA document review, validation, and classification.</w:t>
      </w:r>
    </w:p>
    <w:p w14:paraId="03654B05" w14:textId="77777777" w:rsidR="00A15C53" w:rsidRPr="00A15C53" w:rsidRDefault="00A15C53" w:rsidP="00A15C53">
      <w:pPr>
        <w:numPr>
          <w:ilvl w:val="0"/>
          <w:numId w:val="1"/>
        </w:numPr>
      </w:pPr>
      <w:r w:rsidRPr="00A15C53">
        <w:rPr>
          <w:b/>
          <w:bCs/>
        </w:rPr>
        <w:t xml:space="preserve">Docu </w:t>
      </w:r>
      <w:proofErr w:type="spellStart"/>
      <w:r w:rsidRPr="00A15C53">
        <w:rPr>
          <w:b/>
          <w:bCs/>
        </w:rPr>
        <w:t>Relabeling</w:t>
      </w:r>
      <w:proofErr w:type="spellEnd"/>
      <w:r w:rsidRPr="00A15C53">
        <w:t xml:space="preserve"> – Automated </w:t>
      </w:r>
      <w:proofErr w:type="spellStart"/>
      <w:r w:rsidRPr="00A15C53">
        <w:t>relabeling</w:t>
      </w:r>
      <w:proofErr w:type="spellEnd"/>
      <w:r w:rsidRPr="00A15C53">
        <w:t xml:space="preserve"> and structuring of SBA documents to ensure compliance, consistency, and audit-ready outputs.</w:t>
      </w:r>
    </w:p>
    <w:p w14:paraId="53B7B2A7" w14:textId="75906ED5" w:rsidR="00A15C53" w:rsidRPr="00A15C53" w:rsidRDefault="00A15C53" w:rsidP="00A15C53">
      <w:r w:rsidRPr="00A15C53">
        <w:t>These tools streamline high-volume loan processing, improve underwriting accuracy, and help lenders achieve consistent, regulation-aligned decisioning at scale</w:t>
      </w:r>
      <w:r>
        <w:t>.</w:t>
      </w:r>
      <w:r w:rsidRPr="00A15C53">
        <w:t> </w:t>
      </w:r>
    </w:p>
    <w:p w14:paraId="40E0F6B7" w14:textId="6767E94A" w:rsidR="00A15C53" w:rsidRPr="00A15C53" w:rsidRDefault="00A15C53" w:rsidP="00A15C53">
      <w:r w:rsidRPr="00A15C53">
        <w:t>The event offered a valuable opportunity to connect with decision-makers, exchange insights, and underscore DPA’s commitment to enabling efficient, compliant, and technology-first SBA lending.</w:t>
      </w:r>
    </w:p>
    <w:p w14:paraId="02CB1610" w14:textId="20A89AB5" w:rsidR="00A15C53" w:rsidRPr="00A15C53" w:rsidRDefault="00A15C53" w:rsidP="00A15C53">
      <w:r w:rsidRPr="00A15C53">
        <w:t>Title - NAGGL 2025 Annual Conference</w:t>
      </w:r>
    </w:p>
    <w:p w14:paraId="441A02D5" w14:textId="355675D5" w:rsidR="00A15C53" w:rsidRPr="00A15C53" w:rsidRDefault="00A15C53" w:rsidP="00A15C53">
      <w:r>
        <w:t xml:space="preserve">Meta Description - </w:t>
      </w:r>
      <w:r w:rsidRPr="00A15C53">
        <w:t xml:space="preserve">Discover how Decimal Point Analytics showcased </w:t>
      </w:r>
      <w:proofErr w:type="spellStart"/>
      <w:r w:rsidRPr="00A15C53">
        <w:t>DocuAgentIQ</w:t>
      </w:r>
      <w:proofErr w:type="spellEnd"/>
      <w:r w:rsidRPr="00A15C53">
        <w:t xml:space="preserve">, Docu </w:t>
      </w:r>
      <w:proofErr w:type="spellStart"/>
      <w:r w:rsidRPr="00A15C53">
        <w:t>Relabeling</w:t>
      </w:r>
      <w:proofErr w:type="spellEnd"/>
      <w:r w:rsidRPr="00A15C53">
        <w:t>, and advanced SBA lending services at NAGGL 2025 to help lenders improve turnaround time and compliance.</w:t>
      </w:r>
    </w:p>
    <w:p w14:paraId="4D3EED0C" w14:textId="34EB86DD" w:rsidR="00CB5988" w:rsidRDefault="00A15C53" w:rsidP="00A15C53">
      <w:r w:rsidRPr="00A15C53">
        <w:t> </w:t>
      </w:r>
    </w:p>
    <w:sectPr w:rsidR="00CB59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330C6"/>
    <w:multiLevelType w:val="multilevel"/>
    <w:tmpl w:val="C91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C53"/>
    <w:rsid w:val="001E48A5"/>
    <w:rsid w:val="005C33E5"/>
    <w:rsid w:val="00A15C53"/>
    <w:rsid w:val="00A96A90"/>
    <w:rsid w:val="00CB5988"/>
    <w:rsid w:val="00E16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449A"/>
  <w15:chartTrackingRefBased/>
  <w15:docId w15:val="{546961FC-CE3C-475A-A77E-C68DD9BF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C53"/>
    <w:rPr>
      <w:rFonts w:eastAsiaTheme="majorEastAsia" w:cstheme="majorBidi"/>
      <w:color w:val="272727" w:themeColor="text1" w:themeTint="D8"/>
    </w:rPr>
  </w:style>
  <w:style w:type="paragraph" w:styleId="Title">
    <w:name w:val="Title"/>
    <w:basedOn w:val="Normal"/>
    <w:next w:val="Normal"/>
    <w:link w:val="TitleChar"/>
    <w:uiPriority w:val="10"/>
    <w:qFormat/>
    <w:rsid w:val="00A15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C53"/>
    <w:pPr>
      <w:spacing w:before="160"/>
      <w:jc w:val="center"/>
    </w:pPr>
    <w:rPr>
      <w:i/>
      <w:iCs/>
      <w:color w:val="404040" w:themeColor="text1" w:themeTint="BF"/>
    </w:rPr>
  </w:style>
  <w:style w:type="character" w:customStyle="1" w:styleId="QuoteChar">
    <w:name w:val="Quote Char"/>
    <w:basedOn w:val="DefaultParagraphFont"/>
    <w:link w:val="Quote"/>
    <w:uiPriority w:val="29"/>
    <w:rsid w:val="00A15C53"/>
    <w:rPr>
      <w:i/>
      <w:iCs/>
      <w:color w:val="404040" w:themeColor="text1" w:themeTint="BF"/>
    </w:rPr>
  </w:style>
  <w:style w:type="paragraph" w:styleId="ListParagraph">
    <w:name w:val="List Paragraph"/>
    <w:basedOn w:val="Normal"/>
    <w:uiPriority w:val="34"/>
    <w:qFormat/>
    <w:rsid w:val="00A15C53"/>
    <w:pPr>
      <w:ind w:left="720"/>
      <w:contextualSpacing/>
    </w:pPr>
  </w:style>
  <w:style w:type="character" w:styleId="IntenseEmphasis">
    <w:name w:val="Intense Emphasis"/>
    <w:basedOn w:val="DefaultParagraphFont"/>
    <w:uiPriority w:val="21"/>
    <w:qFormat/>
    <w:rsid w:val="00A15C53"/>
    <w:rPr>
      <w:i/>
      <w:iCs/>
      <w:color w:val="0F4761" w:themeColor="accent1" w:themeShade="BF"/>
    </w:rPr>
  </w:style>
  <w:style w:type="paragraph" w:styleId="IntenseQuote">
    <w:name w:val="Intense Quote"/>
    <w:basedOn w:val="Normal"/>
    <w:next w:val="Normal"/>
    <w:link w:val="IntenseQuoteChar"/>
    <w:uiPriority w:val="30"/>
    <w:qFormat/>
    <w:rsid w:val="00A15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C53"/>
    <w:rPr>
      <w:i/>
      <w:iCs/>
      <w:color w:val="0F4761" w:themeColor="accent1" w:themeShade="BF"/>
    </w:rPr>
  </w:style>
  <w:style w:type="character" w:styleId="IntenseReference">
    <w:name w:val="Intense Reference"/>
    <w:basedOn w:val="DefaultParagraphFont"/>
    <w:uiPriority w:val="32"/>
    <w:qFormat/>
    <w:rsid w:val="00A15C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56369b-cb16-4c9e-87cd-46caef2b4bfa}" enabled="0" method="" siteId="{ff56369b-cb16-4c9e-87cd-46caef2b4bfa}"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Sailaja Das</dc:creator>
  <cp:keywords/>
  <dc:description/>
  <cp:lastModifiedBy>Sailaja Das</cp:lastModifiedBy>
  <cp:revision>2</cp:revision>
  <dcterms:created xsi:type="dcterms:W3CDTF">2025-11-13T06:27:00Z</dcterms:created>
  <dcterms:modified xsi:type="dcterms:W3CDTF">2025-11-13T06:29:00Z</dcterms:modified>
</cp:coreProperties>
</file>