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11111"/>
          <w:sz w:val="30"/>
        </w:rPr>
        <w:t>SAPTHAGIRI NPS UNIVERSITY</w:t>
        <w:br/>
      </w:r>
      <w:r>
        <w:rPr>
          <w:rFonts w:ascii="Calibri" w:hAnsi="Calibri"/>
          <w:b/>
          <w:color w:val="323232"/>
          <w:sz w:val="20"/>
        </w:rPr>
        <w:t>DEPARTMENT OF COMPUTER SCIENCE &amp; ENGINEERING (CSE) • TEAM INNOVEDGE</w:t>
        <w:br/>
      </w:r>
      <w:r>
        <w:rPr>
          <w:rFonts w:ascii="Calibri" w:hAnsi="Calibri"/>
          <w:color w:val="505050"/>
          <w:sz w:val="18"/>
        </w:rPr>
        <w:t>Chikkasandra, Hesaraghatta Main Road, Bengaluru, Karnataka 560057</w:t>
      </w:r>
    </w:p>
    <w:p>
      <w:pPr>
        <w:spacing w:before="80" w:after="160"/>
        <w:pBdr>
          <w:bottom w:val="single" w:sz="12" w:space="1" w:color="222222"/>
        </w:pBdr>
      </w:pPr>
    </w:p>
    <w:p>
      <w:pPr>
        <w:spacing w:after="160"/>
      </w:pPr>
      <w:r>
        <w:rPr>
          <w:b/>
          <w:sz w:val="20"/>
        </w:rPr>
        <w:t>Date: 08 October 2026</w:t>
      </w:r>
    </w:p>
    <w:tbl>
      <w:tblPr>
        <w:tblW w:type="auto" w:w="0"/>
        <w:jc w:val="center"/>
        <w:tblLook w:firstColumn="1" w:firstRow="1" w:lastColumn="0" w:lastRow="0" w:noHBand="0" w:noVBand="1" w:val="04A0"/>
      </w:tblPr>
      <w:tblGrid>
        <w:gridCol w:w="4968"/>
        <w:gridCol w:w="4968"/>
      </w:tblGrid>
      <w:tr>
        <w:tc>
          <w:tcPr>
            <w:tcW w:type="dxa" w:w="4752"/>
            <w:tcMar>
              <w:top w:w="60" w:type="dxa"/>
              <w:bottom w:w="60" w:type="dxa"/>
              <w:left w:w="60" w:type="dxa"/>
              <w:right w:w="60" w:type="dxa"/>
            </w:tcMar>
          </w:tcPr>
          <w:p>
            <w:pPr>
              <w:spacing w:line="276" w:lineRule="auto" w:after="0"/>
            </w:pPr>
            <w:r>
              <w:rPr>
                <w:b/>
                <w:sz w:val="20"/>
              </w:rPr>
              <w:t>TO:</w:t>
              <w:br/>
            </w:r>
            <w:r>
              <w:rPr>
                <w:sz w:val="19"/>
              </w:rPr>
              <w:t>The Dean &amp; University Administration,</w:t>
              <w:br/>
              <w:t>Through: The Director &amp; Faculty Mentor,</w:t>
              <w:br/>
              <w:t>Department of Computer Science &amp; Engineering (CSE),</w:t>
              <w:br/>
              <w:t>Sapthagiri NPS University (SNPSU), Bengaluru – 560057</w:t>
            </w:r>
          </w:p>
        </w:tc>
        <w:tc>
          <w:tcPr>
            <w:tcW w:type="dxa" w:w="5184"/>
            <w:tcMar>
              <w:top w:w="60" w:type="dxa"/>
              <w:bottom w:w="60" w:type="dxa"/>
              <w:left w:w="60" w:type="dxa"/>
              <w:right w:w="60" w:type="dxa"/>
            </w:tcMar>
          </w:tcPr>
          <w:p>
            <w:pPr>
              <w:spacing w:line="276" w:lineRule="auto" w:after="0"/>
            </w:pPr>
            <w:r>
              <w:rPr>
                <w:b/>
                <w:sz w:val="20"/>
              </w:rPr>
              <w:t>FROM:</w:t>
              <w:br/>
            </w:r>
            <w:r>
              <w:rPr>
                <w:sz w:val="19"/>
              </w:rPr>
              <w:t>Team InnovEdge (Dept. of Computer Science &amp; Engineering):</w:t>
              <w:br/>
              <w:t>• Kiran M. Biradar (USN: 24SUUBECS0937) – Lead Developer &amp; Architect</w:t>
              <w:br/>
              <w:t>• Karthik P. (USN: 24SUUBECS0890) – Co-Lead &amp; Technical Coordinator</w:t>
              <w:br/>
              <w:t>Under the Guidance of: Faculty Mentor, Dept. of CSE, SNPSU</w:t>
            </w:r>
          </w:p>
        </w:tc>
      </w:tr>
    </w:tbl>
    <w:p>
      <w:pPr>
        <w:spacing w:before="200" w:after="160"/>
      </w:pPr>
      <w:r>
        <w:rPr>
          <w:b/>
          <w:sz w:val="20"/>
        </w:rPr>
        <w:t xml:space="preserve">SUBJECT: </w:t>
      </w:r>
      <w:r>
        <w:rPr>
          <w:b/>
          <w:sz w:val="20"/>
        </w:rPr>
        <w:t>Requisition for Dedicated Server Space, Sub-Domain Provisioning, and Institutional Deployment Clearance for the 'SapthaEvent' University Management Platform.</w:t>
      </w:r>
    </w:p>
    <w:p>
      <w:pPr>
        <w:spacing w:after="120"/>
      </w:pPr>
      <w:r>
        <w:rPr>
          <w:sz w:val="20"/>
        </w:rPr>
        <w:t>Respected Dignitaries and Respected Faculty Authorities,</w:t>
      </w:r>
    </w:p>
    <w:p>
      <w:pPr>
        <w:spacing w:before="0" w:after="120" w:line="276" w:lineRule="auto"/>
      </w:pPr>
      <w:r>
        <w:rPr>
          <w:rFonts w:ascii="Calibri" w:hAnsi="Calibri"/>
          <w:color w:val="222222"/>
          <w:sz w:val="20"/>
        </w:rPr>
        <w:t>We, the student engineering leads of Team InnovEdge from the Department of Computer Science &amp; Engineering, respectfully submit this official covering letter and requisition dossier for your review and administrative sanction.</w:t>
      </w:r>
    </w:p>
    <w:p>
      <w:pPr>
        <w:spacing w:before="0" w:after="120" w:line="276" w:lineRule="auto"/>
      </w:pPr>
      <w:r>
        <w:rPr>
          <w:rFonts w:ascii="Calibri" w:hAnsi="Calibri"/>
          <w:b/>
          <w:color w:val="141414"/>
          <w:sz w:val="20"/>
        </w:rPr>
        <w:t xml:space="preserve">Context &amp; Reflection on Legacy 2025: </w:t>
      </w:r>
      <w:r>
        <w:rPr>
          <w:rFonts w:ascii="Calibri" w:hAnsi="Calibri"/>
          <w:color w:val="222222"/>
          <w:sz w:val="20"/>
        </w:rPr>
        <w:t>As the university dignitaries will recall, an initial prototype of the campus event portal was launched during the Legacy 2025 university festival. While the initiative demonstrated the strong campus need for a digital system, our team acknowledges with utmost professional humility and regret the operational friction encountered during that event—including server latency under concurrent loads, gate roll-call delays, and synchronization bottlenecks. We took those challenges as a profound learning mandate.</w:t>
      </w:r>
    </w:p>
    <w:p>
      <w:pPr>
        <w:spacing w:before="0" w:after="120" w:line="276" w:lineRule="auto"/>
      </w:pPr>
      <w:r>
        <w:rPr>
          <w:rFonts w:ascii="Calibri" w:hAnsi="Calibri"/>
          <w:b/>
          <w:color w:val="141414"/>
          <w:sz w:val="20"/>
        </w:rPr>
        <w:t xml:space="preserve">Complete Architectural Overhaul &amp; Current State: </w:t>
      </w:r>
      <w:r>
        <w:rPr>
          <w:rFonts w:ascii="Calibri" w:hAnsi="Calibri"/>
          <w:color w:val="222222"/>
          <w:sz w:val="20"/>
        </w:rPr>
        <w:t>Over the past months, under the guidance of our Faculty Mentor in the Department of CSE, Team InnovEdge has completely rebuilt, re-engineered, and hardened the entire codebase from the foundation up. We are proud to report that SapthaEvent is now fully done, hardened, and 100% operational, having passed 145/145 industrial automated test suites. All past bottlenecks have been decisively solved: sub-second QR code ticket scanning with offline redundancy, dynamic department form builder, ACID-compliant database integrity, zero data loss, tamper-proof cryptographic certificates, and automatic NAAC/NIRF reporting.</w:t>
      </w:r>
    </w:p>
    <w:p>
      <w:pPr>
        <w:spacing w:before="0" w:after="40" w:line="276" w:lineRule="auto"/>
      </w:pPr>
      <w:r>
        <w:rPr>
          <w:rFonts w:ascii="Calibri" w:hAnsi="Calibri"/>
          <w:color w:val="222222"/>
          <w:sz w:val="20"/>
        </w:rPr>
        <w:t>Specific Requisitions Submitted for Administrative Approval:</w:t>
      </w:r>
    </w:p>
    <w:p>
      <w:pPr>
        <w:spacing w:after="60"/>
        <w:ind w:left="288"/>
      </w:pPr>
      <w:r>
        <w:rPr>
          <w:b/>
          <w:sz w:val="19"/>
        </w:rPr>
        <w:t xml:space="preserve">1. Requisition for Dedicated Server Space: </w:t>
      </w:r>
      <w:r>
        <w:rPr>
          <w:sz w:val="19"/>
        </w:rPr>
        <w:t>We request allocation of dedicated server space (on-premise university server or lightweight cloud container compute) to host the production instance with zero downtime.</w:t>
      </w:r>
    </w:p>
    <w:p>
      <w:pPr>
        <w:spacing w:after="60"/>
        <w:ind w:left="288"/>
      </w:pPr>
      <w:r>
        <w:rPr>
          <w:b/>
          <w:sz w:val="19"/>
        </w:rPr>
        <w:t xml:space="preserve">2. Official Sub-Domain Allocation: </w:t>
      </w:r>
      <w:r>
        <w:rPr>
          <w:sz w:val="19"/>
        </w:rPr>
        <w:t>Authorization to configure the official institutional sub-domain (events.snpsu.edu.in) with SSL intranet/internet routing for official branding.</w:t>
      </w:r>
    </w:p>
    <w:p>
      <w:pPr>
        <w:spacing w:after="60"/>
        <w:ind w:left="288"/>
      </w:pPr>
      <w:r>
        <w:rPr>
          <w:b/>
          <w:sz w:val="19"/>
        </w:rPr>
        <w:t xml:space="preserve">3. Departmental Pilot Clearance: </w:t>
      </w:r>
      <w:r>
        <w:rPr>
          <w:sz w:val="19"/>
        </w:rPr>
        <w:t>Formal sanction to pilot the upgraded platform for upcoming events across the Department of CSE and all academic faculties of Sapthagiri NPS University.</w:t>
      </w:r>
    </w:p>
    <w:p>
      <w:pPr>
        <w:spacing w:after="60"/>
        <w:ind w:left="288"/>
      </w:pPr>
      <w:r>
        <w:rPr>
          <w:b/>
          <w:sz w:val="19"/>
        </w:rPr>
        <w:t xml:space="preserve">4. Faculty Mentor &amp; Departmental Endorsement: </w:t>
      </w:r>
      <w:r>
        <w:rPr>
          <w:sz w:val="19"/>
        </w:rPr>
        <w:t>Direction and backing from our Faculty Mentor and Director of CSE to onboard departmental coordinators and student volunteers.</w:t>
      </w:r>
    </w:p>
    <w:p>
      <w:pPr>
        <w:spacing w:before="0" w:after="120" w:line="276" w:lineRule="auto"/>
      </w:pPr>
      <w:r>
        <w:rPr>
          <w:rFonts w:ascii="Calibri" w:hAnsi="Calibri"/>
          <w:color w:val="222222"/>
          <w:sz w:val="20"/>
        </w:rPr>
        <w:t>The software entails zero commercial software licensing cost for Sapthagiri NPS University and is ready for immediate deployment. We humbly request the Director, Dean, and Registrar to grant favorable sanction.</w:t>
      </w:r>
    </w:p>
    <w:p>
      <w:pPr>
        <w:spacing w:before="80" w:after="320"/>
      </w:pPr>
      <w:r>
        <w:rPr>
          <w:sz w:val="20"/>
        </w:rPr>
        <w:t>Yours faithfully,</w:t>
      </w:r>
    </w:p>
    <w:tbl>
      <w:tblPr>
        <w:tblW w:type="auto" w:w="0"/>
        <w:jc w:val="center"/>
        <w:tblLook w:firstColumn="1" w:firstRow="1" w:lastColumn="0" w:lastRow="0" w:noHBand="0" w:noVBand="1" w:val="04A0"/>
      </w:tblPr>
      <w:tblGrid>
        <w:gridCol w:w="3312"/>
        <w:gridCol w:w="3312"/>
        <w:gridCol w:w="3312"/>
      </w:tblGrid>
      <w:tr>
        <w:tc>
          <w:tcPr>
            <w:tcW w:type="dxa" w:w="3312"/>
            <w:tcMar>
              <w:top w:w="40" w:type="dxa"/>
              <w:bottom w:w="40" w:type="dxa"/>
              <w:left w:w="40" w:type="dxa"/>
              <w:right w:w="40" w:type="dxa"/>
            </w:tcMar>
          </w:tcPr>
          <w:p>
            <w:r>
              <w:rPr>
                <w:b/>
              </w:rPr>
              <w:t>________________________</w:t>
              <w:br/>
            </w:r>
            <w:r>
              <w:rPr>
                <w:b/>
              </w:rPr>
              <w:t>Kiran M. Biradar</w:t>
              <w:br/>
            </w:r>
            <w:r>
              <w:rPr>
                <w:sz w:val="17"/>
              </w:rPr>
              <w:t>Lead Developer • USN: 24SUUBECS0937</w:t>
              <w:br/>
              <w:t>Team InnovEdge, Dept. of CSE</w:t>
            </w:r>
          </w:p>
        </w:tc>
        <w:tc>
          <w:tcPr>
            <w:tcW w:type="dxa" w:w="3312"/>
            <w:tcMar>
              <w:top w:w="40" w:type="dxa"/>
              <w:bottom w:w="40" w:type="dxa"/>
              <w:left w:w="40" w:type="dxa"/>
              <w:right w:w="40" w:type="dxa"/>
            </w:tcMar>
          </w:tcPr>
          <w:p>
            <w:r>
              <w:rPr>
                <w:b/>
              </w:rPr>
              <w:t>________________________</w:t>
              <w:br/>
            </w:r>
            <w:r>
              <w:rPr>
                <w:b/>
              </w:rPr>
              <w:t>Karthik P.</w:t>
              <w:br/>
            </w:r>
            <w:r>
              <w:rPr>
                <w:sz w:val="17"/>
              </w:rPr>
              <w:t>Co-Lead • USN: 24SUUBECS0890</w:t>
              <w:br/>
              <w:t>Team InnovEdge, Dept. of CSE</w:t>
            </w:r>
          </w:p>
        </w:tc>
        <w:tc>
          <w:tcPr>
            <w:tcW w:type="dxa" w:w="3312"/>
            <w:tcMar>
              <w:top w:w="40" w:type="dxa"/>
              <w:bottom w:w="40" w:type="dxa"/>
              <w:left w:w="40" w:type="dxa"/>
              <w:right w:w="40" w:type="dxa"/>
            </w:tcMar>
          </w:tcPr>
          <w:p>
            <w:r>
              <w:rPr>
                <w:b/>
              </w:rPr>
              <w:t>________________________</w:t>
              <w:br/>
            </w:r>
            <w:r>
              <w:rPr>
                <w:b/>
              </w:rPr>
              <w:t>Faculty Mentor</w:t>
              <w:br/>
            </w:r>
            <w:r>
              <w:rPr>
                <w:sz w:val="17"/>
              </w:rPr>
              <w:t>Dept. of Computer Science &amp; Engg.</w:t>
              <w:br/>
              <w:t>Sapthagiri NPS University</w:t>
            </w:r>
          </w:p>
        </w:tc>
      </w:tr>
    </w:tbl>
    <w:p>
      <w:r>
        <w:br w:type="page"/>
      </w:r>
    </w:p>
    <w:p>
      <w:pPr>
        <w:spacing w:before="240" w:after="40"/>
        <w:jc w:val="center"/>
      </w:pPr>
      <w:r>
        <w:rPr>
          <w:rFonts w:ascii="Calibri" w:hAnsi="Calibri"/>
          <w:b/>
          <w:color w:val="111111"/>
          <w:sz w:val="36"/>
        </w:rPr>
        <w:t>SAPTHAGIRI NPS UNIVERSITY</w:t>
        <w:br/>
      </w:r>
      <w:r>
        <w:rPr>
          <w:color w:val="505050"/>
          <w:sz w:val="19"/>
        </w:rPr>
        <w:t>Chikkasandra, Hesaraghatta Main Road, Bengaluru, Karnataka 560057</w:t>
        <w:br/>
      </w:r>
      <w:r>
        <w:rPr>
          <w:b/>
          <w:color w:val="282828"/>
          <w:sz w:val="22"/>
        </w:rPr>
        <w:t>DEPARTMENT OF COMPUTER SCIENCE &amp; ENGINEERING (CSE)</w:t>
        <w:br/>
      </w:r>
      <w:r>
        <w:rPr>
          <w:color w:val="3C3C3C"/>
          <w:sz w:val="19"/>
        </w:rPr>
        <w:t>Team InnovEdge • Student Technical &amp; Software Development Council</w:t>
      </w:r>
    </w:p>
    <w:p>
      <w:pPr>
        <w:spacing w:before="120" w:after="280"/>
        <w:pBdr>
          <w:bottom w:val="single" w:sz="16" w:space="1" w:color="111111"/>
        </w:pBdr>
      </w:pPr>
    </w:p>
    <w:p>
      <w:pPr>
        <w:spacing w:after="120"/>
        <w:jc w:val="center"/>
      </w:pPr>
      <w:r>
        <w:rPr>
          <w:b/>
          <w:color w:val="111111"/>
          <w:sz w:val="34"/>
        </w:rPr>
        <w:t>OFFICIAL PROJECT PROPOSAL &amp; INSTITUTIONAL REQUISITION</w:t>
      </w:r>
    </w:p>
    <w:p>
      <w:pPr>
        <w:spacing w:after="320"/>
        <w:jc w:val="center"/>
      </w:pPr>
      <w:r>
        <w:rPr>
          <w:color w:val="464646"/>
          <w:sz w:val="21"/>
        </w:rPr>
        <w:t>Comprehensive Strategic Blueprint, Architecture, and Operational Documentation for Deployment of the SapthaEvent Campus Event Intelligence &amp; Orchestration Platform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4968"/>
        <w:gridCol w:w="4968"/>
      </w:tblGrid>
      <w:tr>
        <w:tc>
          <w:tcPr>
            <w:tcW w:type="dxa" w:w="3456"/>
            <w:shd w:fill="F5F5F5"/>
            <w:tcMar>
              <w:top w:w="80" w:type="dxa"/>
              <w:bottom w:w="80" w:type="dxa"/>
              <w:left w:w="120" w:type="dxa"/>
              <w:right w:w="120" w:type="dxa"/>
            </w:tcMar>
          </w:tcPr>
          <w:p>
            <w:pPr>
              <w:spacing w:after="0"/>
            </w:pPr>
            <w:r>
              <w:rPr>
                <w:b/>
                <w:color w:val="282828"/>
                <w:sz w:val="17"/>
              </w:rPr>
              <w:t>DOCUMENT TITLE</w:t>
            </w:r>
          </w:p>
        </w:tc>
        <w:tc>
          <w:tcPr>
            <w:tcW w:type="dxa" w:w="6480"/>
            <w:shd w:fill="FFFFFF"/>
            <w:tcMar>
              <w:top w:w="80" w:type="dxa"/>
              <w:bottom w:w="80" w:type="dxa"/>
              <w:left w:w="120" w:type="dxa"/>
              <w:right w:w="120" w:type="dxa"/>
            </w:tcMar>
          </w:tcPr>
          <w:p>
            <w:pPr>
              <w:spacing w:after="0" w:line="276" w:lineRule="auto"/>
            </w:pPr>
            <w:r>
              <w:rPr>
                <w:color w:val="141414"/>
                <w:sz w:val="18"/>
              </w:rPr>
              <w:t>Institutional Project Proposal &amp; Server Space Requisition</w:t>
            </w:r>
          </w:p>
        </w:tc>
      </w:tr>
      <w:tr>
        <w:tc>
          <w:tcPr>
            <w:tcW w:type="dxa" w:w="3456"/>
            <w:shd w:fill="F5F5F5"/>
            <w:tcMar>
              <w:top w:w="80" w:type="dxa"/>
              <w:bottom w:w="80" w:type="dxa"/>
              <w:left w:w="120" w:type="dxa"/>
              <w:right w:w="120" w:type="dxa"/>
            </w:tcMar>
          </w:tcPr>
          <w:p>
            <w:pPr>
              <w:spacing w:after="0"/>
            </w:pPr>
            <w:r>
              <w:rPr>
                <w:b/>
                <w:color w:val="282828"/>
                <w:sz w:val="17"/>
              </w:rPr>
              <w:t>PROJECT NAME</w:t>
            </w:r>
          </w:p>
        </w:tc>
        <w:tc>
          <w:tcPr>
            <w:tcW w:type="dxa" w:w="6480"/>
            <w:shd w:fill="FFFFFF"/>
            <w:tcMar>
              <w:top w:w="80" w:type="dxa"/>
              <w:bottom w:w="80" w:type="dxa"/>
              <w:left w:w="120" w:type="dxa"/>
              <w:right w:w="120" w:type="dxa"/>
            </w:tcMar>
          </w:tcPr>
          <w:p>
            <w:pPr>
              <w:spacing w:after="0" w:line="276" w:lineRule="auto"/>
            </w:pPr>
            <w:r>
              <w:rPr>
                <w:color w:val="141414"/>
                <w:sz w:val="18"/>
              </w:rPr>
              <w:t>SapthaEvent — Enterprise Event Intelligence Platform</w:t>
            </w:r>
          </w:p>
        </w:tc>
      </w:tr>
      <w:tr>
        <w:tc>
          <w:tcPr>
            <w:tcW w:type="dxa" w:w="3456"/>
            <w:shd w:fill="F5F5F5"/>
            <w:tcMar>
              <w:top w:w="80" w:type="dxa"/>
              <w:bottom w:w="80" w:type="dxa"/>
              <w:left w:w="120" w:type="dxa"/>
              <w:right w:w="120" w:type="dxa"/>
            </w:tcMar>
          </w:tcPr>
          <w:p>
            <w:pPr>
              <w:spacing w:after="0"/>
            </w:pPr>
            <w:r>
              <w:rPr>
                <w:b/>
                <w:color w:val="282828"/>
                <w:sz w:val="17"/>
              </w:rPr>
              <w:t>ACADEMIC SESSION</w:t>
            </w:r>
          </w:p>
        </w:tc>
        <w:tc>
          <w:tcPr>
            <w:tcW w:type="dxa" w:w="6480"/>
            <w:shd w:fill="FFFFFF"/>
            <w:tcMar>
              <w:top w:w="80" w:type="dxa"/>
              <w:bottom w:w="80" w:type="dxa"/>
              <w:left w:w="120" w:type="dxa"/>
              <w:right w:w="120" w:type="dxa"/>
            </w:tcMar>
          </w:tcPr>
          <w:p>
            <w:pPr>
              <w:spacing w:after="0" w:line="276" w:lineRule="auto"/>
            </w:pPr>
            <w:r>
              <w:rPr>
                <w:color w:val="141414"/>
                <w:sz w:val="18"/>
              </w:rPr>
              <w:t>Academic Year 2026 – 2027</w:t>
            </w:r>
          </w:p>
        </w:tc>
      </w:tr>
      <w:tr>
        <w:tc>
          <w:tcPr>
            <w:tcW w:type="dxa" w:w="3456"/>
            <w:shd w:fill="F5F5F5"/>
            <w:tcMar>
              <w:top w:w="80" w:type="dxa"/>
              <w:bottom w:w="80" w:type="dxa"/>
              <w:left w:w="120" w:type="dxa"/>
              <w:right w:w="120" w:type="dxa"/>
            </w:tcMar>
          </w:tcPr>
          <w:p>
            <w:pPr>
              <w:spacing w:after="0"/>
            </w:pPr>
            <w:r>
              <w:rPr>
                <w:b/>
                <w:color w:val="282828"/>
                <w:sz w:val="17"/>
              </w:rPr>
              <w:t>TARGET INSTITUTION</w:t>
            </w:r>
          </w:p>
        </w:tc>
        <w:tc>
          <w:tcPr>
            <w:tcW w:type="dxa" w:w="6480"/>
            <w:shd w:fill="FFFFFF"/>
            <w:tcMar>
              <w:top w:w="80" w:type="dxa"/>
              <w:bottom w:w="80" w:type="dxa"/>
              <w:left w:w="120" w:type="dxa"/>
              <w:right w:w="120" w:type="dxa"/>
            </w:tcMar>
          </w:tcPr>
          <w:p>
            <w:pPr>
              <w:spacing w:after="0" w:line="276" w:lineRule="auto"/>
            </w:pPr>
            <w:r>
              <w:rPr>
                <w:color w:val="141414"/>
                <w:sz w:val="18"/>
              </w:rPr>
              <w:t>Sapthagiri NPS University (SNPSU), Bengaluru</w:t>
            </w:r>
          </w:p>
        </w:tc>
      </w:tr>
      <w:tr>
        <w:tc>
          <w:tcPr>
            <w:tcW w:type="dxa" w:w="3456"/>
            <w:shd w:fill="F5F5F5"/>
            <w:tcMar>
              <w:top w:w="80" w:type="dxa"/>
              <w:bottom w:w="80" w:type="dxa"/>
              <w:left w:w="120" w:type="dxa"/>
              <w:right w:w="120" w:type="dxa"/>
            </w:tcMar>
          </w:tcPr>
          <w:p>
            <w:pPr>
              <w:spacing w:after="0"/>
            </w:pPr>
            <w:r>
              <w:rPr>
                <w:b/>
                <w:color w:val="282828"/>
                <w:sz w:val="17"/>
              </w:rPr>
              <w:t>DEVELOPED BY</w:t>
            </w:r>
          </w:p>
        </w:tc>
        <w:tc>
          <w:tcPr>
            <w:tcW w:type="dxa" w:w="6480"/>
            <w:shd w:fill="FFFFFF"/>
            <w:tcMar>
              <w:top w:w="80" w:type="dxa"/>
              <w:bottom w:w="80" w:type="dxa"/>
              <w:left w:w="120" w:type="dxa"/>
              <w:right w:w="120" w:type="dxa"/>
            </w:tcMar>
          </w:tcPr>
          <w:p>
            <w:pPr>
              <w:spacing w:after="0" w:line="276" w:lineRule="auto"/>
            </w:pPr>
            <w:r>
              <w:rPr>
                <w:color w:val="141414"/>
                <w:sz w:val="18"/>
              </w:rPr>
              <w:t>Team InnovEdge • Dept. of Computer Science &amp; Engineering (CSE)</w:t>
            </w:r>
          </w:p>
        </w:tc>
      </w:tr>
      <w:tr>
        <w:tc>
          <w:tcPr>
            <w:tcW w:type="dxa" w:w="3456"/>
            <w:shd w:fill="F5F5F5"/>
            <w:tcMar>
              <w:top w:w="80" w:type="dxa"/>
              <w:bottom w:w="80" w:type="dxa"/>
              <w:left w:w="120" w:type="dxa"/>
              <w:right w:w="120" w:type="dxa"/>
            </w:tcMar>
          </w:tcPr>
          <w:p>
            <w:pPr>
              <w:spacing w:after="0"/>
            </w:pPr>
            <w:r>
              <w:rPr>
                <w:b/>
                <w:color w:val="282828"/>
                <w:sz w:val="17"/>
              </w:rPr>
              <w:t>PROJECT LEADS</w:t>
            </w:r>
          </w:p>
        </w:tc>
        <w:tc>
          <w:tcPr>
            <w:tcW w:type="dxa" w:w="6480"/>
            <w:shd w:fill="FFFFFF"/>
            <w:tcMar>
              <w:top w:w="80" w:type="dxa"/>
              <w:bottom w:w="80" w:type="dxa"/>
              <w:left w:w="120" w:type="dxa"/>
              <w:right w:w="120" w:type="dxa"/>
            </w:tcMar>
          </w:tcPr>
          <w:p>
            <w:pPr>
              <w:spacing w:after="0" w:line="276" w:lineRule="auto"/>
            </w:pPr>
            <w:r>
              <w:rPr>
                <w:color w:val="141414"/>
                <w:sz w:val="18"/>
              </w:rPr>
              <w:t>Kiran M. Biradar (USN: 24SUUBECS0937) • Lead Developer &amp; Architect</w:t>
              <w:br/>
              <w:t>Karthik P. (USN: 24SUUBECS0890) • Co-Lead &amp; Technical Coordinator</w:t>
            </w:r>
          </w:p>
        </w:tc>
      </w:tr>
      <w:tr>
        <w:tc>
          <w:tcPr>
            <w:tcW w:type="dxa" w:w="3456"/>
            <w:shd w:fill="F5F5F5"/>
            <w:tcMar>
              <w:top w:w="80" w:type="dxa"/>
              <w:bottom w:w="80" w:type="dxa"/>
              <w:left w:w="120" w:type="dxa"/>
              <w:right w:w="120" w:type="dxa"/>
            </w:tcMar>
          </w:tcPr>
          <w:p>
            <w:pPr>
              <w:spacing w:after="0"/>
            </w:pPr>
            <w:r>
              <w:rPr>
                <w:b/>
                <w:color w:val="282828"/>
                <w:sz w:val="17"/>
              </w:rPr>
              <w:t>FACULTY MENTOR</w:t>
            </w:r>
          </w:p>
        </w:tc>
        <w:tc>
          <w:tcPr>
            <w:tcW w:type="dxa" w:w="6480"/>
            <w:shd w:fill="FFFFFF"/>
            <w:tcMar>
              <w:top w:w="80" w:type="dxa"/>
              <w:bottom w:w="80" w:type="dxa"/>
              <w:left w:w="120" w:type="dxa"/>
              <w:right w:w="120" w:type="dxa"/>
            </w:tcMar>
          </w:tcPr>
          <w:p>
            <w:pPr>
              <w:spacing w:after="0" w:line="276" w:lineRule="auto"/>
            </w:pPr>
            <w:r>
              <w:rPr>
                <w:color w:val="141414"/>
                <w:sz w:val="18"/>
              </w:rPr>
              <w:t>Faculty Coordinator • Dept. of Computer Science &amp; Engineering</w:t>
            </w:r>
          </w:p>
        </w:tc>
      </w:tr>
      <w:tr>
        <w:tc>
          <w:tcPr>
            <w:tcW w:type="dxa" w:w="3456"/>
            <w:shd w:fill="F5F5F5"/>
            <w:tcMar>
              <w:top w:w="80" w:type="dxa"/>
              <w:bottom w:w="80" w:type="dxa"/>
              <w:left w:w="120" w:type="dxa"/>
              <w:right w:w="120" w:type="dxa"/>
            </w:tcMar>
          </w:tcPr>
          <w:p>
            <w:pPr>
              <w:spacing w:after="0"/>
            </w:pPr>
            <w:r>
              <w:rPr>
                <w:b/>
                <w:color w:val="282828"/>
                <w:sz w:val="17"/>
              </w:rPr>
              <w:t>SUBMITTED TO</w:t>
            </w:r>
          </w:p>
        </w:tc>
        <w:tc>
          <w:tcPr>
            <w:tcW w:type="dxa" w:w="6480"/>
            <w:shd w:fill="FFFFFF"/>
            <w:tcMar>
              <w:top w:w="80" w:type="dxa"/>
              <w:bottom w:w="80" w:type="dxa"/>
              <w:left w:w="120" w:type="dxa"/>
              <w:right w:w="120" w:type="dxa"/>
            </w:tcMar>
          </w:tcPr>
          <w:p>
            <w:pPr>
              <w:spacing w:after="0" w:line="276" w:lineRule="auto"/>
            </w:pPr>
            <w:r>
              <w:rPr>
                <w:color w:val="141414"/>
                <w:sz w:val="18"/>
              </w:rPr>
              <w:t>The Director (CSE), Dean (Engineering), and Registrar, SNPSU</w:t>
            </w:r>
          </w:p>
        </w:tc>
      </w:tr>
      <w:tr>
        <w:tc>
          <w:tcPr>
            <w:tcW w:type="dxa" w:w="3456"/>
            <w:shd w:fill="F5F5F5"/>
            <w:tcMar>
              <w:top w:w="80" w:type="dxa"/>
              <w:bottom w:w="80" w:type="dxa"/>
              <w:left w:w="120" w:type="dxa"/>
              <w:right w:w="120" w:type="dxa"/>
            </w:tcMar>
          </w:tcPr>
          <w:p>
            <w:pPr>
              <w:spacing w:after="0"/>
            </w:pPr>
            <w:r>
              <w:rPr>
                <w:b/>
                <w:color w:val="282828"/>
                <w:sz w:val="17"/>
              </w:rPr>
              <w:t>PROJECT STATUS</w:t>
            </w:r>
          </w:p>
        </w:tc>
        <w:tc>
          <w:tcPr>
            <w:tcW w:type="dxa" w:w="6480"/>
            <w:shd w:fill="FFFFFF"/>
            <w:tcMar>
              <w:top w:w="80" w:type="dxa"/>
              <w:bottom w:w="80" w:type="dxa"/>
              <w:left w:w="120" w:type="dxa"/>
              <w:right w:w="120" w:type="dxa"/>
            </w:tcMar>
          </w:tcPr>
          <w:p>
            <w:pPr>
              <w:spacing w:after="0" w:line="276" w:lineRule="auto"/>
            </w:pPr>
            <w:r>
              <w:rPr>
                <w:color w:val="141414"/>
                <w:sz w:val="18"/>
              </w:rPr>
              <w:t>Production Ready • 145/145 Automated Tests Passing • Fully Functional</w:t>
            </w:r>
          </w:p>
        </w:tc>
      </w:tr>
    </w:tbl>
    <w:p>
      <w:pPr>
        <w:spacing w:before="280" w:after="80"/>
      </w:pPr>
      <w:r>
        <w:rPr>
          <w:b/>
          <w:sz w:val="20"/>
        </w:rPr>
        <w:t>INSTITUTIONAL ENDORSEMENT &amp; APPROVAL MATRIX</w:t>
      </w:r>
    </w:p>
    <w:tbl>
      <w:tblPr>
        <w:tblW w:type="auto" w:w="0"/>
        <w:jc w:val="center"/>
        <w:tblLook w:firstColumn="1" w:firstRow="1" w:lastColumn="0" w:lastRow="0" w:noHBand="0" w:noVBand="1" w:val="04A0"/>
        <w:tblBorders>
          <w:top w:val="single" w:sz="4" w:space="0" w:color="BBBBBB"/>
          <w:bottom w:val="single" w:sz="4" w:space="0" w:color="BBBBBB"/>
          <w:insideH w:val="single" w:sz="4" w:space="0" w:color="BBBBBB"/>
          <w:insideV w:val="single" w:sz="4" w:space="0" w:color="BBBBBB"/>
          <w:left w:val="single" w:sz="4" w:space="0" w:color="BBBBBB"/>
          <w:right w:val="single" w:sz="4" w:space="0" w:color="BBBBBB"/>
        </w:tblBorders>
      </w:tblPr>
      <w:tblGrid>
        <w:gridCol w:w="2484"/>
        <w:gridCol w:w="2484"/>
        <w:gridCol w:w="2484"/>
        <w:gridCol w:w="2484"/>
      </w:tblGrid>
      <w:tr>
        <w:tc>
          <w:tcPr>
            <w:tcW w:type="dxa" w:w="2484"/>
            <w:shd w:fill="EBEBEB"/>
            <w:tcMar>
              <w:top w:w="80" w:type="dxa"/>
              <w:bottom w:w="80" w:type="dxa"/>
              <w:left w:w="60" w:type="dxa"/>
              <w:right w:w="60" w:type="dxa"/>
            </w:tcMar>
          </w:tcPr>
          <w:p>
            <w:pPr>
              <w:spacing w:after="0"/>
              <w:jc w:val="center"/>
            </w:pPr>
            <w:r>
              <w:rPr>
                <w:b/>
                <w:sz w:val="17"/>
              </w:rPr>
              <w:t>SUBMITTED BY</w:t>
              <w:br/>
            </w:r>
            <w:r>
              <w:rPr>
                <w:color w:val="3C3C3C"/>
                <w:sz w:val="15"/>
              </w:rPr>
              <w:t>Team InnovEdge Leads</w:t>
            </w:r>
          </w:p>
        </w:tc>
        <w:tc>
          <w:tcPr>
            <w:tcW w:type="dxa" w:w="2484"/>
            <w:shd w:fill="EBEBEB"/>
            <w:tcMar>
              <w:top w:w="80" w:type="dxa"/>
              <w:bottom w:w="80" w:type="dxa"/>
              <w:left w:w="60" w:type="dxa"/>
              <w:right w:w="60" w:type="dxa"/>
            </w:tcMar>
          </w:tcPr>
          <w:p>
            <w:pPr>
              <w:spacing w:after="0"/>
              <w:jc w:val="center"/>
            </w:pPr>
            <w:r>
              <w:rPr>
                <w:b/>
                <w:sz w:val="17"/>
              </w:rPr>
              <w:t>RECOMMENDED BY</w:t>
              <w:br/>
            </w:r>
            <w:r>
              <w:rPr>
                <w:color w:val="3C3C3C"/>
                <w:sz w:val="15"/>
              </w:rPr>
              <w:t>Director, School of CSE</w:t>
            </w:r>
          </w:p>
        </w:tc>
        <w:tc>
          <w:tcPr>
            <w:tcW w:type="dxa" w:w="2484"/>
            <w:shd w:fill="EBEBEB"/>
            <w:tcMar>
              <w:top w:w="80" w:type="dxa"/>
              <w:bottom w:w="80" w:type="dxa"/>
              <w:left w:w="60" w:type="dxa"/>
              <w:right w:w="60" w:type="dxa"/>
            </w:tcMar>
          </w:tcPr>
          <w:p>
            <w:pPr>
              <w:spacing w:after="0"/>
              <w:jc w:val="center"/>
            </w:pPr>
            <w:r>
              <w:rPr>
                <w:b/>
                <w:sz w:val="17"/>
              </w:rPr>
              <w:t>ENDORSED BY</w:t>
              <w:br/>
            </w:r>
            <w:r>
              <w:rPr>
                <w:color w:val="3C3C3C"/>
                <w:sz w:val="15"/>
              </w:rPr>
              <w:t>Dean, Academic Affairs / Engg.</w:t>
            </w:r>
          </w:p>
        </w:tc>
        <w:tc>
          <w:tcPr>
            <w:tcW w:type="dxa" w:w="2484"/>
            <w:shd w:fill="EBEBEB"/>
            <w:tcMar>
              <w:top w:w="80" w:type="dxa"/>
              <w:bottom w:w="80" w:type="dxa"/>
              <w:left w:w="60" w:type="dxa"/>
              <w:right w:w="60" w:type="dxa"/>
            </w:tcMar>
          </w:tcPr>
          <w:p>
            <w:pPr>
              <w:spacing w:after="0"/>
              <w:jc w:val="center"/>
            </w:pPr>
            <w:r>
              <w:rPr>
                <w:b/>
                <w:sz w:val="17"/>
              </w:rPr>
              <w:t>FINAL SANCTION</w:t>
              <w:br/>
            </w:r>
            <w:r>
              <w:rPr>
                <w:color w:val="3C3C3C"/>
                <w:sz w:val="15"/>
              </w:rPr>
              <w:t>Registrar, SNPSU</w:t>
            </w:r>
          </w:p>
        </w:tc>
      </w:tr>
      <w:tr>
        <w:tc>
          <w:tcPr>
            <w:tcW w:type="dxa" w:w="2484"/>
            <w:shd w:fill="FFFFFF"/>
            <w:tcMar>
              <w:top w:w="100" w:type="dxa"/>
              <w:bottom w:w="100" w:type="dxa"/>
              <w:left w:w="60" w:type="dxa"/>
              <w:right w:w="60" w:type="dxa"/>
            </w:tcMar>
          </w:tcPr>
          <w:p>
            <w:pPr>
              <w:spacing w:after="0" w:line="264" w:lineRule="auto"/>
              <w:jc w:val="center"/>
            </w:pPr>
            <w:r>
              <w:rPr>
                <w:sz w:val="16"/>
              </w:rPr>
              <w:br/>
              <w:br/>
              <w:t>________________________</w:t>
              <w:br/>
              <w:t>Kiran M. Biradar</w:t>
              <w:br/>
              <w:t>Karthik P.</w:t>
              <w:br/>
              <w:t>Team InnovEdge (CSE)</w:t>
            </w:r>
          </w:p>
        </w:tc>
        <w:tc>
          <w:tcPr>
            <w:tcW w:type="dxa" w:w="2484"/>
            <w:shd w:fill="FFFFFF"/>
            <w:tcMar>
              <w:top w:w="100" w:type="dxa"/>
              <w:bottom w:w="100" w:type="dxa"/>
              <w:left w:w="60" w:type="dxa"/>
              <w:right w:w="60" w:type="dxa"/>
            </w:tcMar>
          </w:tcPr>
          <w:p>
            <w:pPr>
              <w:spacing w:after="0" w:line="264" w:lineRule="auto"/>
              <w:jc w:val="center"/>
            </w:pPr>
            <w:r>
              <w:rPr>
                <w:sz w:val="16"/>
              </w:rPr>
              <w:br/>
              <w:br/>
              <w:t>________________________</w:t>
              <w:br/>
              <w:t>Director</w:t>
              <w:br/>
              <w:t>Dept. of Computer Science &amp; Engg.</w:t>
              <w:br/>
              <w:t>Sapthagiri NPS University</w:t>
            </w:r>
          </w:p>
        </w:tc>
        <w:tc>
          <w:tcPr>
            <w:tcW w:type="dxa" w:w="2484"/>
            <w:shd w:fill="FFFFFF"/>
            <w:tcMar>
              <w:top w:w="100" w:type="dxa"/>
              <w:bottom w:w="100" w:type="dxa"/>
              <w:left w:w="60" w:type="dxa"/>
              <w:right w:w="60" w:type="dxa"/>
            </w:tcMar>
          </w:tcPr>
          <w:p>
            <w:pPr>
              <w:spacing w:after="0" w:line="264" w:lineRule="auto"/>
              <w:jc w:val="center"/>
            </w:pPr>
            <w:r>
              <w:rPr>
                <w:sz w:val="16"/>
              </w:rPr>
              <w:br/>
              <w:br/>
              <w:t>________________________</w:t>
              <w:br/>
              <w:t>Dean</w:t>
              <w:br/>
              <w:t>Faculty of Engineering &amp; Tech.</w:t>
              <w:br/>
              <w:t>Sapthagiri NPS University</w:t>
            </w:r>
          </w:p>
        </w:tc>
        <w:tc>
          <w:tcPr>
            <w:tcW w:type="dxa" w:w="2484"/>
            <w:shd w:fill="FFFFFF"/>
            <w:tcMar>
              <w:top w:w="100" w:type="dxa"/>
              <w:bottom w:w="100" w:type="dxa"/>
              <w:left w:w="60" w:type="dxa"/>
              <w:right w:w="60" w:type="dxa"/>
            </w:tcMar>
          </w:tcPr>
          <w:p>
            <w:pPr>
              <w:spacing w:after="0" w:line="264" w:lineRule="auto"/>
              <w:jc w:val="center"/>
            </w:pPr>
            <w:r>
              <w:rPr>
                <w:sz w:val="16"/>
              </w:rPr>
              <w:br/>
              <w:br/>
              <w:t>________________________</w:t>
              <w:br/>
              <w:t>Registrar</w:t>
              <w:br/>
              <w:t>University Administration</w:t>
              <w:br/>
              <w:t>Sapthagiri NPS University</w:t>
            </w:r>
          </w:p>
        </w:tc>
      </w:tr>
    </w:tbl>
    <w:p>
      <w:r>
        <w:br w:type="page"/>
      </w:r>
    </w:p>
    <w:p>
      <w:pPr>
        <w:keepNext/>
        <w:spacing w:before="280" w:after="120"/>
      </w:pPr>
      <w:r>
        <w:rPr>
          <w:rFonts w:ascii="Calibri" w:hAnsi="Calibri"/>
          <w:b/>
          <w:color w:val="111111"/>
          <w:sz w:val="26"/>
        </w:rPr>
        <w:t>1. EXECUTIVE SUMMARY &amp; PROJECT STATEMENT</w:t>
      </w:r>
    </w:p>
    <w:p>
      <w:pPr>
        <w:spacing w:before="0" w:after="120" w:line="276" w:lineRule="auto"/>
      </w:pPr>
      <w:r>
        <w:rPr>
          <w:rFonts w:ascii="Calibri" w:hAnsi="Calibri"/>
          <w:color w:val="222222"/>
          <w:sz w:val="20"/>
        </w:rPr>
        <w:t>SapthaEvent is an enterprise-grade university event orchestration, ticketing, dynamic registration, and data intelligence platform developed indigenously by Team InnovEdge within the Department of Computer Science &amp; Engineering (CSE) at Sapthagiri NPS University (SNPSU). The platform addresses the persistent administrative challenges of manual paper-based registrations, unreliable third-party Google Forms, gate crowd congestion, lost revenue tracking, and chaotic accreditation reporting.</w:t>
      </w:r>
    </w:p>
    <w:p>
      <w:pPr>
        <w:spacing w:before="0" w:after="120" w:line="276" w:lineRule="auto"/>
      </w:pPr>
      <w:r>
        <w:rPr>
          <w:rFonts w:ascii="Calibri" w:hAnsi="Calibri"/>
          <w:color w:val="222222"/>
          <w:sz w:val="20"/>
        </w:rPr>
        <w:t>Designed to serve as the unified institutional digital backbone for all collegiate cultural, technical, sports, and academic symposiums, SapthaEvent consolidates the complete event lifecycle into a single secure ecosystem—from role-isolated department form configuration, instant QR code ticket generation, and automated gate validation to cryptographic certificate issuance and instant NAAC/NIRF accreditation analytics.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3312"/>
        <w:gridCol w:w="3312"/>
        <w:gridCol w:w="3312"/>
      </w:tblGrid>
      <w:tr>
        <w:tc>
          <w:tcPr>
            <w:tcW w:type="dxa" w:w="2880"/>
            <w:shd w:fill="EAEAEA"/>
            <w:tcMar>
              <w:top w:w="120" w:type="dxa"/>
              <w:bottom w:w="120" w:type="dxa"/>
              <w:left w:w="160" w:type="dxa"/>
              <w:right w:w="160" w:type="dxa"/>
            </w:tcMar>
            <w:vAlign w:val="center"/>
            <w:shd w:fill="EAEAEA"/>
            <w:tcMar>
              <w:top w:w="120" w:type="dxa"/>
              <w:bottom w:w="120" w:type="dxa"/>
              <w:left w:w="160" w:type="dxa"/>
              <w:right w:w="160" w:type="dxa"/>
            </w:tcMar>
          </w:tcPr>
          <w:p>
            <w:pPr>
              <w:spacing w:before="0" w:after="0"/>
              <w:jc w:val="left"/>
            </w:pPr>
            <w:r>
              <w:rPr>
                <w:rFonts w:ascii="Calibri" w:hAnsi="Calibri"/>
                <w:b/>
                <w:color w:val="111111"/>
                <w:sz w:val="19"/>
              </w:rPr>
              <w:t>METRIC / CAPABILITY</w:t>
            </w:r>
          </w:p>
        </w:tc>
        <w:tc>
          <w:tcPr>
            <w:tcW w:type="dxa" w:w="3600"/>
            <w:shd w:fill="EAEAEA"/>
            <w:tcMar>
              <w:top w:w="120" w:type="dxa"/>
              <w:bottom w:w="120" w:type="dxa"/>
              <w:left w:w="160" w:type="dxa"/>
              <w:right w:w="160" w:type="dxa"/>
            </w:tcMar>
            <w:vAlign w:val="center"/>
            <w:shd w:fill="EAEAEA"/>
            <w:tcMar>
              <w:top w:w="120" w:type="dxa"/>
              <w:bottom w:w="120" w:type="dxa"/>
              <w:left w:w="160" w:type="dxa"/>
              <w:right w:w="160" w:type="dxa"/>
            </w:tcMar>
          </w:tcPr>
          <w:p>
            <w:pPr>
              <w:spacing w:before="0" w:after="0"/>
              <w:jc w:val="left"/>
            </w:pPr>
            <w:r>
              <w:rPr>
                <w:rFonts w:ascii="Calibri" w:hAnsi="Calibri"/>
                <w:b/>
                <w:color w:val="111111"/>
                <w:sz w:val="19"/>
              </w:rPr>
              <w:t>SPECIFICATION / ACHIEVEMENT</w:t>
            </w:r>
          </w:p>
        </w:tc>
        <w:tc>
          <w:tcPr>
            <w:tcW w:type="dxa" w:w="3456"/>
            <w:shd w:fill="EAEAEA"/>
            <w:tcMar>
              <w:top w:w="120" w:type="dxa"/>
              <w:bottom w:w="120" w:type="dxa"/>
              <w:left w:w="160" w:type="dxa"/>
              <w:right w:w="160" w:type="dxa"/>
            </w:tcMar>
            <w:vAlign w:val="center"/>
            <w:shd w:fill="EAEAEA"/>
            <w:tcMar>
              <w:top w:w="120" w:type="dxa"/>
              <w:bottom w:w="120" w:type="dxa"/>
              <w:left w:w="160" w:type="dxa"/>
              <w:right w:w="160" w:type="dxa"/>
            </w:tcMar>
          </w:tcPr>
          <w:p>
            <w:pPr>
              <w:spacing w:before="0" w:after="0"/>
              <w:jc w:val="left"/>
            </w:pPr>
            <w:r>
              <w:rPr>
                <w:rFonts w:ascii="Calibri" w:hAnsi="Calibri"/>
                <w:b/>
                <w:color w:val="111111"/>
                <w:sz w:val="19"/>
              </w:rPr>
              <w:t>INSTITUTIONAL VALUE</w:t>
            </w:r>
          </w:p>
        </w:tc>
      </w:tr>
      <w:tr>
        <w:tc>
          <w:tcPr>
            <w:tcW w:type="dxa" w:w="2880"/>
            <w:shd w:fill="FBFBFB"/>
            <w:tcMar>
              <w:top w:w="100" w:type="dxa"/>
              <w:bottom w:w="100" w:type="dxa"/>
              <w:left w:w="150" w:type="dxa"/>
              <w:right w:w="150" w:type="dxa"/>
            </w:tcMar>
            <w:vAlign w:val="center"/>
          </w:tcPr>
          <w:p>
            <w:pPr>
              <w:spacing w:before="0" w:after="0"/>
            </w:pPr>
            <w:r>
              <w:rPr>
                <w:rFonts w:ascii="Calibri" w:hAnsi="Calibri"/>
                <w:color w:val="222222"/>
                <w:sz w:val="19"/>
              </w:rPr>
              <w:t>Test Suite Verification</w:t>
            </w:r>
          </w:p>
        </w:tc>
        <w:tc>
          <w:tcPr>
            <w:tcW w:type="dxa" w:w="3600"/>
            <w:shd w:fill="FBFBFB"/>
            <w:tcMar>
              <w:top w:w="100" w:type="dxa"/>
              <w:bottom w:w="100" w:type="dxa"/>
              <w:left w:w="150" w:type="dxa"/>
              <w:right w:w="150" w:type="dxa"/>
            </w:tcMar>
            <w:vAlign w:val="center"/>
          </w:tcPr>
          <w:p>
            <w:pPr>
              <w:spacing w:before="0" w:after="0"/>
            </w:pPr>
            <w:r>
              <w:rPr>
                <w:rFonts w:ascii="Calibri" w:hAnsi="Calibri"/>
                <w:color w:val="222222"/>
                <w:sz w:val="19"/>
              </w:rPr>
              <w:t>145 / 145 Passing Automated Tests</w:t>
            </w:r>
          </w:p>
        </w:tc>
        <w:tc>
          <w:tcPr>
            <w:tcW w:type="dxa" w:w="3456"/>
            <w:shd w:fill="FBFBFB"/>
            <w:tcMar>
              <w:top w:w="100" w:type="dxa"/>
              <w:bottom w:w="100" w:type="dxa"/>
              <w:left w:w="150" w:type="dxa"/>
              <w:right w:w="150" w:type="dxa"/>
            </w:tcMar>
            <w:vAlign w:val="center"/>
          </w:tcPr>
          <w:p>
            <w:pPr>
              <w:spacing w:before="0" w:after="0"/>
            </w:pPr>
            <w:r>
              <w:rPr>
                <w:rFonts w:ascii="Calibri" w:hAnsi="Calibri"/>
                <w:color w:val="222222"/>
                <w:sz w:val="19"/>
              </w:rPr>
              <w:t>100% regression and security resilience</w:t>
            </w:r>
          </w:p>
        </w:tc>
      </w:tr>
      <w:tr>
        <w:tc>
          <w:tcPr>
            <w:tcW w:type="dxa" w:w="2880"/>
            <w:shd w:fill="FFFFFF"/>
            <w:tcMar>
              <w:top w:w="100" w:type="dxa"/>
              <w:bottom w:w="100" w:type="dxa"/>
              <w:left w:w="150" w:type="dxa"/>
              <w:right w:w="150" w:type="dxa"/>
            </w:tcMar>
            <w:vAlign w:val="center"/>
          </w:tcPr>
          <w:p>
            <w:pPr>
              <w:spacing w:before="0" w:after="0"/>
            </w:pPr>
            <w:r>
              <w:rPr>
                <w:rFonts w:ascii="Calibri" w:hAnsi="Calibri"/>
                <w:color w:val="222222"/>
                <w:sz w:val="19"/>
              </w:rPr>
              <w:t>Gate Roll-Call Speed</w:t>
            </w:r>
          </w:p>
        </w:tc>
        <w:tc>
          <w:tcPr>
            <w:tcW w:type="dxa" w:w="3600"/>
            <w:shd w:fill="FFFFFF"/>
            <w:tcMar>
              <w:top w:w="100" w:type="dxa"/>
              <w:bottom w:w="100" w:type="dxa"/>
              <w:left w:w="150" w:type="dxa"/>
              <w:right w:w="150" w:type="dxa"/>
            </w:tcMar>
            <w:vAlign w:val="center"/>
          </w:tcPr>
          <w:p>
            <w:pPr>
              <w:spacing w:before="0" w:after="0"/>
            </w:pPr>
            <w:r>
              <w:rPr>
                <w:rFonts w:ascii="Calibri" w:hAnsi="Calibri"/>
                <w:color w:val="222222"/>
                <w:sz w:val="19"/>
              </w:rPr>
              <w:t>&lt; 0.4 seconds per QR scan</w:t>
            </w:r>
          </w:p>
        </w:tc>
        <w:tc>
          <w:tcPr>
            <w:tcW w:type="dxa" w:w="3456"/>
            <w:shd w:fill="FFFFFF"/>
            <w:tcMar>
              <w:top w:w="100" w:type="dxa"/>
              <w:bottom w:w="100" w:type="dxa"/>
              <w:left w:w="150" w:type="dxa"/>
              <w:right w:w="150" w:type="dxa"/>
            </w:tcMar>
            <w:vAlign w:val="center"/>
          </w:tcPr>
          <w:p>
            <w:pPr>
              <w:spacing w:before="0" w:after="0"/>
            </w:pPr>
            <w:r>
              <w:rPr>
                <w:rFonts w:ascii="Calibri" w:hAnsi="Calibri"/>
                <w:color w:val="222222"/>
                <w:sz w:val="19"/>
              </w:rPr>
              <w:t>Eliminates gate queues during mega-fests</w:t>
            </w:r>
          </w:p>
        </w:tc>
      </w:tr>
      <w:tr>
        <w:tc>
          <w:tcPr>
            <w:tcW w:type="dxa" w:w="2880"/>
            <w:shd w:fill="FBFBFB"/>
            <w:tcMar>
              <w:top w:w="100" w:type="dxa"/>
              <w:bottom w:w="100" w:type="dxa"/>
              <w:left w:w="150" w:type="dxa"/>
              <w:right w:w="150" w:type="dxa"/>
            </w:tcMar>
            <w:vAlign w:val="center"/>
          </w:tcPr>
          <w:p>
            <w:pPr>
              <w:spacing w:before="0" w:after="0"/>
            </w:pPr>
            <w:r>
              <w:rPr>
                <w:rFonts w:ascii="Calibri" w:hAnsi="Calibri"/>
                <w:color w:val="222222"/>
                <w:sz w:val="19"/>
              </w:rPr>
              <w:t>Accreditation Turnaround</w:t>
            </w:r>
          </w:p>
        </w:tc>
        <w:tc>
          <w:tcPr>
            <w:tcW w:type="dxa" w:w="3600"/>
            <w:shd w:fill="FBFBFB"/>
            <w:tcMar>
              <w:top w:w="100" w:type="dxa"/>
              <w:bottom w:w="100" w:type="dxa"/>
              <w:left w:w="150" w:type="dxa"/>
              <w:right w:w="150" w:type="dxa"/>
            </w:tcMar>
            <w:vAlign w:val="center"/>
          </w:tcPr>
          <w:p>
            <w:pPr>
              <w:spacing w:before="0" w:after="0"/>
            </w:pPr>
            <w:r>
              <w:rPr>
                <w:rFonts w:ascii="Calibri" w:hAnsi="Calibri"/>
                <w:color w:val="222222"/>
                <w:sz w:val="19"/>
              </w:rPr>
              <w:t>Instant NAAC Criteria 5.3 Export</w:t>
            </w:r>
          </w:p>
        </w:tc>
        <w:tc>
          <w:tcPr>
            <w:tcW w:type="dxa" w:w="3456"/>
            <w:shd w:fill="FBFBFB"/>
            <w:tcMar>
              <w:top w:w="100" w:type="dxa"/>
              <w:bottom w:w="100" w:type="dxa"/>
              <w:left w:w="150" w:type="dxa"/>
              <w:right w:w="150" w:type="dxa"/>
            </w:tcMar>
            <w:vAlign w:val="center"/>
          </w:tcPr>
          <w:p>
            <w:pPr>
              <w:spacing w:before="0" w:after="0"/>
            </w:pPr>
            <w:r>
              <w:rPr>
                <w:rFonts w:ascii="Calibri" w:hAnsi="Calibri"/>
                <w:color w:val="222222"/>
                <w:sz w:val="19"/>
              </w:rPr>
              <w:t>Automates weeks of administrative data collation</w:t>
            </w:r>
          </w:p>
        </w:tc>
      </w:tr>
      <w:tr>
        <w:tc>
          <w:tcPr>
            <w:tcW w:type="dxa" w:w="2880"/>
            <w:shd w:fill="FFFFFF"/>
            <w:tcMar>
              <w:top w:w="100" w:type="dxa"/>
              <w:bottom w:w="100" w:type="dxa"/>
              <w:left w:w="150" w:type="dxa"/>
              <w:right w:w="150" w:type="dxa"/>
            </w:tcMar>
            <w:vAlign w:val="center"/>
          </w:tcPr>
          <w:p>
            <w:pPr>
              <w:spacing w:before="0" w:after="0"/>
            </w:pPr>
            <w:r>
              <w:rPr>
                <w:rFonts w:ascii="Calibri" w:hAnsi="Calibri"/>
                <w:color w:val="222222"/>
                <w:sz w:val="19"/>
              </w:rPr>
              <w:t>Commercial Software Cost</w:t>
            </w:r>
          </w:p>
        </w:tc>
        <w:tc>
          <w:tcPr>
            <w:tcW w:type="dxa" w:w="3600"/>
            <w:shd w:fill="FFFFFF"/>
            <w:tcMar>
              <w:top w:w="100" w:type="dxa"/>
              <w:bottom w:w="100" w:type="dxa"/>
              <w:left w:w="150" w:type="dxa"/>
              <w:right w:w="150" w:type="dxa"/>
            </w:tcMar>
            <w:vAlign w:val="center"/>
          </w:tcPr>
          <w:p>
            <w:pPr>
              <w:spacing w:before="0" w:after="0"/>
            </w:pPr>
            <w:r>
              <w:rPr>
                <w:rFonts w:ascii="Calibri" w:hAnsi="Calibri"/>
                <w:color w:val="222222"/>
                <w:sz w:val="19"/>
              </w:rPr>
              <w:t>INR 0 (Indigenous Asset)</w:t>
            </w:r>
          </w:p>
        </w:tc>
        <w:tc>
          <w:tcPr>
            <w:tcW w:type="dxa" w:w="3456"/>
            <w:shd w:fill="FFFFFF"/>
            <w:tcMar>
              <w:top w:w="100" w:type="dxa"/>
              <w:bottom w:w="100" w:type="dxa"/>
              <w:left w:w="150" w:type="dxa"/>
              <w:right w:w="150" w:type="dxa"/>
            </w:tcMar>
            <w:vAlign w:val="center"/>
          </w:tcPr>
          <w:p>
            <w:pPr>
              <w:spacing w:before="0" w:after="0"/>
            </w:pPr>
            <w:r>
              <w:rPr>
                <w:rFonts w:ascii="Calibri" w:hAnsi="Calibri"/>
                <w:color w:val="222222"/>
                <w:sz w:val="19"/>
              </w:rPr>
              <w:t>100% cost reduction vs commercial SaaS</w:t>
            </w:r>
          </w:p>
        </w:tc>
      </w:tr>
      <w:tr>
        <w:tc>
          <w:tcPr>
            <w:tcW w:type="dxa" w:w="2880"/>
            <w:shd w:fill="FBFBFB"/>
            <w:tcMar>
              <w:top w:w="100" w:type="dxa"/>
              <w:bottom w:w="100" w:type="dxa"/>
              <w:left w:w="150" w:type="dxa"/>
              <w:right w:w="150" w:type="dxa"/>
            </w:tcMar>
            <w:vAlign w:val="center"/>
          </w:tcPr>
          <w:p>
            <w:pPr>
              <w:spacing w:before="0" w:after="0"/>
            </w:pPr>
            <w:r>
              <w:rPr>
                <w:rFonts w:ascii="Calibri" w:hAnsi="Calibri"/>
                <w:color w:val="222222"/>
                <w:sz w:val="19"/>
              </w:rPr>
              <w:t>Offline Check-in Redundancy</w:t>
            </w:r>
          </w:p>
        </w:tc>
        <w:tc>
          <w:tcPr>
            <w:tcW w:type="dxa" w:w="3600"/>
            <w:shd w:fill="FBFBFB"/>
            <w:tcMar>
              <w:top w:w="100" w:type="dxa"/>
              <w:bottom w:w="100" w:type="dxa"/>
              <w:left w:w="150" w:type="dxa"/>
              <w:right w:w="150" w:type="dxa"/>
            </w:tcMar>
            <w:vAlign w:val="center"/>
          </w:tcPr>
          <w:p>
            <w:pPr>
              <w:spacing w:before="0" w:after="0"/>
            </w:pPr>
            <w:r>
              <w:rPr>
                <w:rFonts w:ascii="Calibri" w:hAnsi="Calibri"/>
                <w:color w:val="222222"/>
                <w:sz w:val="19"/>
              </w:rPr>
              <w:t>Offline-ready token verification</w:t>
            </w:r>
          </w:p>
        </w:tc>
        <w:tc>
          <w:tcPr>
            <w:tcW w:type="dxa" w:w="3456"/>
            <w:shd w:fill="FBFBFB"/>
            <w:tcMar>
              <w:top w:w="100" w:type="dxa"/>
              <w:bottom w:w="100" w:type="dxa"/>
              <w:left w:w="150" w:type="dxa"/>
              <w:right w:w="150" w:type="dxa"/>
            </w:tcMar>
            <w:vAlign w:val="center"/>
          </w:tcPr>
          <w:p>
            <w:pPr>
              <w:spacing w:before="0" w:after="0"/>
            </w:pPr>
            <w:r>
              <w:rPr>
                <w:rFonts w:ascii="Calibri" w:hAnsi="Calibri"/>
                <w:color w:val="222222"/>
                <w:sz w:val="19"/>
              </w:rPr>
              <w:t>Uninterrupted gate operations during Wi-Fi outages</w:t>
            </w:r>
          </w:p>
        </w:tc>
      </w:tr>
    </w:tbl>
    <w:p>
      <w:pPr>
        <w:keepNext/>
        <w:spacing w:before="280" w:after="120"/>
      </w:pPr>
      <w:r>
        <w:rPr>
          <w:rFonts w:ascii="Calibri" w:hAnsi="Calibri"/>
          <w:b/>
          <w:color w:val="111111"/>
          <w:sz w:val="26"/>
        </w:rPr>
        <w:t>2. INSTITUTIONAL PROBLEM STATEMENT &amp; GROUND-REALITY ANALYSIS</w:t>
      </w:r>
    </w:p>
    <w:p>
      <w:pPr>
        <w:spacing w:before="0" w:after="120" w:line="276" w:lineRule="auto"/>
      </w:pPr>
      <w:r>
        <w:rPr>
          <w:rFonts w:ascii="Calibri" w:hAnsi="Calibri"/>
          <w:color w:val="222222"/>
          <w:sz w:val="20"/>
        </w:rPr>
        <w:t>Collegiate events at Sapthagiri NPS University are high-stakes operational environments involving thousands of students, external participants, faculty judges, and substantial financial transactions. Prior to SapthaEvent, campus event administration suffered from fragmented, ad-hoc workflows: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3312"/>
        <w:gridCol w:w="3312"/>
        <w:gridCol w:w="3312"/>
      </w:tblGrid>
      <w:tr>
        <w:tc>
          <w:tcPr>
            <w:tcW w:type="dxa" w:w="2592"/>
            <w:shd w:fill="EAEAEA"/>
            <w:tcMar>
              <w:top w:w="120" w:type="dxa"/>
              <w:bottom w:w="120" w:type="dxa"/>
              <w:left w:w="160" w:type="dxa"/>
              <w:right w:w="160" w:type="dxa"/>
            </w:tcMar>
            <w:vAlign w:val="center"/>
          </w:tcPr>
          <w:p>
            <w:pPr>
              <w:spacing w:before="0" w:after="0"/>
              <w:jc w:val="left"/>
            </w:pPr>
            <w:r>
              <w:rPr>
                <w:rFonts w:ascii="Calibri" w:hAnsi="Calibri"/>
                <w:b/>
                <w:color w:val="111111"/>
                <w:sz w:val="19"/>
              </w:rPr>
              <w:t>OPERATIONAL AREA</w:t>
            </w:r>
          </w:p>
        </w:tc>
        <w:tc>
          <w:tcPr>
            <w:tcW w:type="dxa" w:w="3600"/>
            <w:shd w:fill="EAEAEA"/>
            <w:tcMar>
              <w:top w:w="120" w:type="dxa"/>
              <w:bottom w:w="120" w:type="dxa"/>
              <w:left w:w="160" w:type="dxa"/>
              <w:right w:w="160" w:type="dxa"/>
            </w:tcMar>
            <w:vAlign w:val="center"/>
          </w:tcPr>
          <w:p>
            <w:pPr>
              <w:spacing w:before="0" w:after="0"/>
              <w:jc w:val="left"/>
            </w:pPr>
            <w:r>
              <w:rPr>
                <w:rFonts w:ascii="Calibri" w:hAnsi="Calibri"/>
                <w:b/>
                <w:color w:val="111111"/>
                <w:sz w:val="19"/>
              </w:rPr>
              <w:t>CURRENT CONVENTIONAL WORKFLOW</w:t>
            </w:r>
          </w:p>
        </w:tc>
        <w:tc>
          <w:tcPr>
            <w:tcW w:type="dxa" w:w="3744"/>
            <w:shd w:fill="EAEAEA"/>
            <w:tcMar>
              <w:top w:w="120" w:type="dxa"/>
              <w:bottom w:w="120" w:type="dxa"/>
              <w:left w:w="160" w:type="dxa"/>
              <w:right w:w="160" w:type="dxa"/>
            </w:tcMar>
            <w:vAlign w:val="center"/>
          </w:tcPr>
          <w:p>
            <w:pPr>
              <w:spacing w:before="0" w:after="0"/>
              <w:jc w:val="left"/>
            </w:pPr>
            <w:r>
              <w:rPr>
                <w:rFonts w:ascii="Calibri" w:hAnsi="Calibri"/>
                <w:b/>
                <w:color w:val="111111"/>
                <w:sz w:val="19"/>
              </w:rPr>
              <w:t>SAPTHAEVENT OVERHAULED SOLUTION</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Registration &amp; Intake</w:t>
            </w:r>
          </w:p>
        </w:tc>
        <w:tc>
          <w:tcPr>
            <w:tcW w:type="dxa" w:w="3600"/>
            <w:shd w:fill="FBFBFB"/>
            <w:tcMar>
              <w:top w:w="100" w:type="dxa"/>
              <w:bottom w:w="100" w:type="dxa"/>
              <w:left w:w="150" w:type="dxa"/>
              <w:right w:w="150" w:type="dxa"/>
            </w:tcMar>
            <w:vAlign w:val="center"/>
          </w:tcPr>
          <w:p>
            <w:pPr>
              <w:spacing w:before="0" w:after="0"/>
            </w:pPr>
            <w:r>
              <w:rPr>
                <w:rFonts w:ascii="Calibri" w:hAnsi="Calibri"/>
                <w:color w:val="222222"/>
                <w:sz w:val="19"/>
              </w:rPr>
              <w:t>Fragmented Google Forms per department; missing payment slips; fake UTRs.</w:t>
            </w:r>
          </w:p>
        </w:tc>
        <w:tc>
          <w:tcPr>
            <w:tcW w:type="dxa" w:w="3744"/>
            <w:shd w:fill="FBFBFB"/>
            <w:tcMar>
              <w:top w:w="100" w:type="dxa"/>
              <w:bottom w:w="100" w:type="dxa"/>
              <w:left w:w="150" w:type="dxa"/>
              <w:right w:w="150" w:type="dxa"/>
            </w:tcMar>
            <w:vAlign w:val="center"/>
          </w:tcPr>
          <w:p>
            <w:pPr>
              <w:spacing w:before="0" w:after="0"/>
            </w:pPr>
            <w:r>
              <w:rPr>
                <w:rFonts w:ascii="Calibri" w:hAnsi="Calibri"/>
                <w:color w:val="222222"/>
                <w:sz w:val="19"/>
              </w:rPr>
              <w:t>Integrated dynamic builder with field validation and automated payment slip hashing.</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Gate Access &amp; Check-In</w:t>
            </w:r>
          </w:p>
        </w:tc>
        <w:tc>
          <w:tcPr>
            <w:tcW w:type="dxa" w:w="3600"/>
            <w:shd w:fill="FFFFFF"/>
            <w:tcMar>
              <w:top w:w="100" w:type="dxa"/>
              <w:bottom w:w="100" w:type="dxa"/>
              <w:left w:w="150" w:type="dxa"/>
              <w:right w:w="150" w:type="dxa"/>
            </w:tcMar>
            <w:vAlign w:val="center"/>
          </w:tcPr>
          <w:p>
            <w:pPr>
              <w:spacing w:before="0" w:after="0"/>
            </w:pPr>
            <w:r>
              <w:rPr>
                <w:rFonts w:ascii="Calibri" w:hAnsi="Calibri"/>
                <w:color w:val="222222"/>
                <w:sz w:val="19"/>
              </w:rPr>
              <w:t>Manual paper printouts; slow name cross-referencing; gate bottlenecking.</w:t>
            </w:r>
          </w:p>
        </w:tc>
        <w:tc>
          <w:tcPr>
            <w:tcW w:type="dxa" w:w="3744"/>
            <w:shd w:fill="FFFFFF"/>
            <w:tcMar>
              <w:top w:w="100" w:type="dxa"/>
              <w:bottom w:w="100" w:type="dxa"/>
              <w:left w:w="150" w:type="dxa"/>
              <w:right w:w="150" w:type="dxa"/>
            </w:tcMar>
            <w:vAlign w:val="center"/>
          </w:tcPr>
          <w:p>
            <w:pPr>
              <w:spacing w:before="0" w:after="0"/>
            </w:pPr>
            <w:r>
              <w:rPr>
                <w:rFonts w:ascii="Calibri" w:hAnsi="Calibri"/>
                <w:color w:val="222222"/>
                <w:sz w:val="19"/>
              </w:rPr>
              <w:t>Sub-second camera QR scan with instant live roll-call and offline fallback.</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Data Privacy &amp; Security</w:t>
            </w:r>
          </w:p>
        </w:tc>
        <w:tc>
          <w:tcPr>
            <w:tcW w:type="dxa" w:w="3600"/>
            <w:shd w:fill="FBFBFB"/>
            <w:tcMar>
              <w:top w:w="100" w:type="dxa"/>
              <w:bottom w:w="100" w:type="dxa"/>
              <w:left w:w="150" w:type="dxa"/>
              <w:right w:w="150" w:type="dxa"/>
            </w:tcMar>
            <w:vAlign w:val="center"/>
          </w:tcPr>
          <w:p>
            <w:pPr>
              <w:spacing w:before="0" w:after="0"/>
            </w:pPr>
            <w:r>
              <w:rPr>
                <w:rFonts w:ascii="Calibri" w:hAnsi="Calibri"/>
                <w:color w:val="222222"/>
                <w:sz w:val="19"/>
              </w:rPr>
              <w:t>Student phone numbers and PII exposed on shared volunteer spreadsheets.</w:t>
            </w:r>
          </w:p>
        </w:tc>
        <w:tc>
          <w:tcPr>
            <w:tcW w:type="dxa" w:w="3744"/>
            <w:shd w:fill="FBFBFB"/>
            <w:tcMar>
              <w:top w:w="100" w:type="dxa"/>
              <w:bottom w:w="100" w:type="dxa"/>
              <w:left w:w="150" w:type="dxa"/>
              <w:right w:w="150" w:type="dxa"/>
            </w:tcMar>
            <w:vAlign w:val="center"/>
          </w:tcPr>
          <w:p>
            <w:pPr>
              <w:spacing w:before="0" w:after="0"/>
            </w:pPr>
            <w:r>
              <w:rPr>
                <w:rFonts w:ascii="Calibri" w:hAnsi="Calibri"/>
                <w:color w:val="222222"/>
                <w:sz w:val="19"/>
              </w:rPr>
              <w:t>Strict Role-Based Access Control (RBAC); hashed tokens; volunteer PII masking.</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Accreditation Audit</w:t>
            </w:r>
          </w:p>
        </w:tc>
        <w:tc>
          <w:tcPr>
            <w:tcW w:type="dxa" w:w="3600"/>
            <w:shd w:fill="FFFFFF"/>
            <w:tcMar>
              <w:top w:w="100" w:type="dxa"/>
              <w:bottom w:w="100" w:type="dxa"/>
              <w:left w:w="150" w:type="dxa"/>
              <w:right w:w="150" w:type="dxa"/>
            </w:tcMar>
            <w:vAlign w:val="center"/>
          </w:tcPr>
          <w:p>
            <w:pPr>
              <w:spacing w:before="0" w:after="0"/>
            </w:pPr>
            <w:r>
              <w:rPr>
                <w:rFonts w:ascii="Calibri" w:hAnsi="Calibri"/>
                <w:color w:val="222222"/>
                <w:sz w:val="19"/>
              </w:rPr>
              <w:t>Months spent manually collecting attendee lists and photos for NAAC files.</w:t>
            </w:r>
          </w:p>
        </w:tc>
        <w:tc>
          <w:tcPr>
            <w:tcW w:type="dxa" w:w="3744"/>
            <w:shd w:fill="FFFFFF"/>
            <w:tcMar>
              <w:top w:w="100" w:type="dxa"/>
              <w:bottom w:w="100" w:type="dxa"/>
              <w:left w:w="150" w:type="dxa"/>
              <w:right w:w="150" w:type="dxa"/>
            </w:tcMar>
            <w:vAlign w:val="center"/>
          </w:tcPr>
          <w:p>
            <w:pPr>
              <w:spacing w:before="0" w:after="0"/>
            </w:pPr>
            <w:r>
              <w:rPr>
                <w:rFonts w:ascii="Calibri" w:hAnsi="Calibri"/>
                <w:color w:val="222222"/>
                <w:sz w:val="19"/>
              </w:rPr>
              <w:t>One-click NAAC Criteria 5.3 and NIRF audit reports generated in vector PDF/Excel.</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Certificate Issuance</w:t>
            </w:r>
          </w:p>
        </w:tc>
        <w:tc>
          <w:tcPr>
            <w:tcW w:type="dxa" w:w="3600"/>
            <w:shd w:fill="FBFBFB"/>
            <w:tcMar>
              <w:top w:w="100" w:type="dxa"/>
              <w:bottom w:w="100" w:type="dxa"/>
              <w:left w:w="150" w:type="dxa"/>
              <w:right w:w="150" w:type="dxa"/>
            </w:tcMar>
            <w:vAlign w:val="center"/>
          </w:tcPr>
          <w:p>
            <w:pPr>
              <w:spacing w:before="0" w:after="0"/>
            </w:pPr>
            <w:r>
              <w:rPr>
                <w:rFonts w:ascii="Calibri" w:hAnsi="Calibri"/>
                <w:color w:val="222222"/>
                <w:sz w:val="19"/>
              </w:rPr>
              <w:t>Manual mail-merge certificate creation leading to misspelled names and fraud.</w:t>
            </w:r>
          </w:p>
        </w:tc>
        <w:tc>
          <w:tcPr>
            <w:tcW w:type="dxa" w:w="3744"/>
            <w:shd w:fill="FBFBFB"/>
            <w:tcMar>
              <w:top w:w="100" w:type="dxa"/>
              <w:bottom w:w="100" w:type="dxa"/>
              <w:left w:w="150" w:type="dxa"/>
              <w:right w:w="150" w:type="dxa"/>
            </w:tcMar>
            <w:vAlign w:val="center"/>
          </w:tcPr>
          <w:p>
            <w:pPr>
              <w:spacing w:before="0" w:after="0"/>
            </w:pPr>
            <w:r>
              <w:rPr>
                <w:rFonts w:ascii="Calibri" w:hAnsi="Calibri"/>
                <w:color w:val="222222"/>
                <w:sz w:val="19"/>
              </w:rPr>
              <w:t>Cryptographic tamper-proof digital certificates verifiable via permanent public QR.</w:t>
            </w:r>
          </w:p>
        </w:tc>
      </w:tr>
    </w:tbl>
    <w:p>
      <w:pPr>
        <w:keepNext/>
        <w:spacing w:before="280" w:after="120"/>
      </w:pPr>
      <w:r>
        <w:rPr>
          <w:rFonts w:ascii="Calibri" w:hAnsi="Calibri"/>
          <w:b/>
          <w:color w:val="111111"/>
          <w:sz w:val="26"/>
        </w:rPr>
        <w:t>3. THE SAPTHAEVENT SOLUTION ARCHITECTURE</w:t>
      </w:r>
    </w:p>
    <w:p>
      <w:pPr>
        <w:spacing w:before="0" w:after="120" w:line="276" w:lineRule="auto"/>
      </w:pPr>
      <w:r>
        <w:rPr>
          <w:rFonts w:ascii="Calibri" w:hAnsi="Calibri"/>
          <w:color w:val="222222"/>
          <w:sz w:val="20"/>
        </w:rPr>
        <w:t>SapthaEvent is structured into five cohesive, high-performance software modules designed to cover the institutional event workflow end-to-end:</w:t>
      </w:r>
    </w:p>
    <w:p>
      <w:pPr>
        <w:spacing w:before="0" w:after="80" w:line="276" w:lineRule="auto"/>
      </w:pPr>
      <w:r>
        <w:rPr>
          <w:rFonts w:ascii="Calibri" w:hAnsi="Calibri"/>
          <w:b/>
          <w:color w:val="141414"/>
          <w:sz w:val="20"/>
        </w:rPr>
        <w:t xml:space="preserve">Module 1: Dynamic Departmental Form Builder — </w:t>
      </w:r>
      <w:r>
        <w:rPr>
          <w:rFonts w:ascii="Calibri" w:hAnsi="Calibri"/>
          <w:color w:val="222222"/>
          <w:sz w:val="20"/>
        </w:rPr>
        <w:t>Allows faculty coordinators and student leads across any university department to construct tailored registration questionnaires without writing code. Supports custom text, dropdowns, file uploads, team member matrices, and conditional fields.</w:t>
      </w:r>
    </w:p>
    <w:p>
      <w:pPr>
        <w:spacing w:before="0" w:after="80" w:line="276" w:lineRule="auto"/>
      </w:pPr>
      <w:r>
        <w:rPr>
          <w:rFonts w:ascii="Calibri" w:hAnsi="Calibri"/>
          <w:b/>
          <w:color w:val="141414"/>
          <w:sz w:val="20"/>
        </w:rPr>
        <w:t xml:space="preserve">Module 2: Sub-Second QR Ticketing &amp; Check-In — </w:t>
      </w:r>
      <w:r>
        <w:rPr>
          <w:rFonts w:ascii="Calibri" w:hAnsi="Calibri"/>
          <w:color w:val="222222"/>
          <w:sz w:val="20"/>
        </w:rPr>
        <w:t>Upon confirmed registration, participants instantly receive a cryptographic ticket embedded with a unique verification token and dynamic QR code. Gate volunteers scan tickets via smartphone camera with sub-second feedback.</w:t>
      </w:r>
    </w:p>
    <w:p>
      <w:pPr>
        <w:spacing w:before="0" w:after="80" w:line="276" w:lineRule="auto"/>
      </w:pPr>
      <w:r>
        <w:rPr>
          <w:rFonts w:ascii="Calibri" w:hAnsi="Calibri"/>
          <w:b/>
          <w:color w:val="141414"/>
          <w:sz w:val="20"/>
        </w:rPr>
        <w:t xml:space="preserve">Module 3: Role-Based Access Control (RBAC) &amp; Multi-Tenant Isolation — </w:t>
      </w:r>
      <w:r>
        <w:rPr>
          <w:rFonts w:ascii="Calibri" w:hAnsi="Calibri"/>
          <w:color w:val="222222"/>
          <w:sz w:val="20"/>
        </w:rPr>
        <w:t>Implements strict security boundaries isolating Super Admin, Department Director, Faculty Coordinator, and Student Volunteer access levels.</w:t>
      </w:r>
    </w:p>
    <w:p>
      <w:pPr>
        <w:spacing w:before="0" w:after="80" w:line="276" w:lineRule="auto"/>
      </w:pPr>
      <w:r>
        <w:rPr>
          <w:rFonts w:ascii="Calibri" w:hAnsi="Calibri"/>
          <w:b/>
          <w:color w:val="141414"/>
          <w:sz w:val="20"/>
        </w:rPr>
        <w:t xml:space="preserve">Module 4: NAAC &amp; NIRF Compliant Reporting Engine — </w:t>
      </w:r>
      <w:r>
        <w:rPr>
          <w:rFonts w:ascii="Calibri" w:hAnsi="Calibri"/>
          <w:color w:val="222222"/>
          <w:sz w:val="20"/>
        </w:rPr>
        <w:t>Automatically aggregates gender demographics, departmental participation percentages, geo-diversity, and verified attendance ratios into standardized accreditation reports.</w:t>
      </w:r>
    </w:p>
    <w:p>
      <w:pPr>
        <w:spacing w:before="0" w:after="80" w:line="276" w:lineRule="auto"/>
      </w:pPr>
      <w:r>
        <w:rPr>
          <w:rFonts w:ascii="Calibri" w:hAnsi="Calibri"/>
          <w:b/>
          <w:color w:val="141414"/>
          <w:sz w:val="20"/>
        </w:rPr>
        <w:t xml:space="preserve">Module 5: Tamper-Proof Cryptographic Certificate Studio — </w:t>
      </w:r>
      <w:r>
        <w:rPr>
          <w:rFonts w:ascii="Calibri" w:hAnsi="Calibri"/>
          <w:color w:val="222222"/>
          <w:sz w:val="20"/>
        </w:rPr>
        <w:t>Generates vector-grade participation and merit certificates in bulk with embedded public verification URLs and digital signatures.</w:t>
      </w:r>
    </w:p>
    <w:p>
      <w:pPr>
        <w:keepNext/>
        <w:spacing w:before="280" w:after="120"/>
      </w:pPr>
      <w:r>
        <w:rPr>
          <w:rFonts w:ascii="Calibri" w:hAnsi="Calibri"/>
          <w:b/>
          <w:color w:val="111111"/>
          <w:sz w:val="26"/>
        </w:rPr>
        <w:t>4. OPERATIONAL WORKFLOW &amp; EVENT LIFECYCLE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484"/>
        <w:gridCol w:w="2484"/>
        <w:gridCol w:w="2484"/>
        <w:gridCol w:w="2484"/>
      </w:tblGrid>
      <w:tr>
        <w:tc>
          <w:tcPr>
            <w:tcW w:type="dxa" w:w="2016"/>
            <w:shd w:fill="EAEAEA"/>
            <w:tcMar>
              <w:top w:w="120" w:type="dxa"/>
              <w:bottom w:w="120" w:type="dxa"/>
              <w:left w:w="160" w:type="dxa"/>
              <w:right w:w="160" w:type="dxa"/>
            </w:tcMar>
            <w:vAlign w:val="center"/>
          </w:tcPr>
          <w:p>
            <w:pPr>
              <w:spacing w:before="0" w:after="0"/>
              <w:jc w:val="left"/>
            </w:pPr>
            <w:r>
              <w:rPr>
                <w:rFonts w:ascii="Calibri" w:hAnsi="Calibri"/>
                <w:b/>
                <w:color w:val="111111"/>
                <w:sz w:val="19"/>
              </w:rPr>
              <w:t>PHASE</w:t>
            </w:r>
          </w:p>
        </w:tc>
        <w:tc>
          <w:tcPr>
            <w:tcW w:type="dxa" w:w="2160"/>
            <w:shd w:fill="EAEAEA"/>
            <w:tcMar>
              <w:top w:w="120" w:type="dxa"/>
              <w:bottom w:w="120" w:type="dxa"/>
              <w:left w:w="160" w:type="dxa"/>
              <w:right w:w="160" w:type="dxa"/>
            </w:tcMar>
            <w:vAlign w:val="center"/>
          </w:tcPr>
          <w:p>
            <w:pPr>
              <w:spacing w:before="0" w:after="0"/>
              <w:jc w:val="left"/>
            </w:pPr>
            <w:r>
              <w:rPr>
                <w:rFonts w:ascii="Calibri" w:hAnsi="Calibri"/>
                <w:b/>
                <w:color w:val="111111"/>
                <w:sz w:val="19"/>
              </w:rPr>
              <w:t>PRIMARY ACTOR</w:t>
            </w:r>
          </w:p>
        </w:tc>
        <w:tc>
          <w:tcPr>
            <w:tcW w:type="dxa" w:w="3600"/>
            <w:shd w:fill="EAEAEA"/>
            <w:tcMar>
              <w:top w:w="120" w:type="dxa"/>
              <w:bottom w:w="120" w:type="dxa"/>
              <w:left w:w="160" w:type="dxa"/>
              <w:right w:w="160" w:type="dxa"/>
            </w:tcMar>
            <w:vAlign w:val="center"/>
          </w:tcPr>
          <w:p>
            <w:pPr>
              <w:spacing w:before="0" w:after="0"/>
              <w:jc w:val="left"/>
            </w:pPr>
            <w:r>
              <w:rPr>
                <w:rFonts w:ascii="Calibri" w:hAnsi="Calibri"/>
                <w:b/>
                <w:color w:val="111111"/>
                <w:sz w:val="19"/>
              </w:rPr>
              <w:t>ACTIONS &amp; PLATFORM BEHAVIOR</w:t>
            </w:r>
          </w:p>
        </w:tc>
        <w:tc>
          <w:tcPr>
            <w:tcW w:type="dxa" w:w="2160"/>
            <w:shd w:fill="EAEAEA"/>
            <w:tcMar>
              <w:top w:w="120" w:type="dxa"/>
              <w:bottom w:w="120" w:type="dxa"/>
              <w:left w:w="160" w:type="dxa"/>
              <w:right w:w="160" w:type="dxa"/>
            </w:tcMar>
            <w:vAlign w:val="center"/>
          </w:tcPr>
          <w:p>
            <w:pPr>
              <w:spacing w:before="0" w:after="0"/>
              <w:jc w:val="left"/>
            </w:pPr>
            <w:r>
              <w:rPr>
                <w:rFonts w:ascii="Calibri" w:hAnsi="Calibri"/>
                <w:b/>
                <w:color w:val="111111"/>
                <w:sz w:val="19"/>
              </w:rPr>
              <w:t>SECURITY &amp; INTEGRITY ASSURANCE</w:t>
            </w:r>
          </w:p>
        </w:tc>
      </w:tr>
      <w:tr>
        <w:tc>
          <w:tcPr>
            <w:tcW w:type="dxa" w:w="2016"/>
            <w:shd w:fill="FBFBFB"/>
            <w:tcMar>
              <w:top w:w="100" w:type="dxa"/>
              <w:bottom w:w="100" w:type="dxa"/>
              <w:left w:w="150" w:type="dxa"/>
              <w:right w:w="150" w:type="dxa"/>
            </w:tcMar>
            <w:vAlign w:val="center"/>
          </w:tcPr>
          <w:p>
            <w:pPr>
              <w:spacing w:before="0" w:after="0"/>
            </w:pPr>
            <w:r>
              <w:rPr>
                <w:rFonts w:ascii="Calibri" w:hAnsi="Calibri"/>
                <w:color w:val="222222"/>
                <w:sz w:val="19"/>
              </w:rPr>
              <w:t>1. Creation &amp; Publishing</w:t>
            </w:r>
          </w:p>
        </w:tc>
        <w:tc>
          <w:tcPr>
            <w:tcW w:type="dxa" w:w="2160"/>
            <w:shd w:fill="FBFBFB"/>
            <w:tcMar>
              <w:top w:w="100" w:type="dxa"/>
              <w:bottom w:w="100" w:type="dxa"/>
              <w:left w:w="150" w:type="dxa"/>
              <w:right w:w="150" w:type="dxa"/>
            </w:tcMar>
            <w:vAlign w:val="center"/>
          </w:tcPr>
          <w:p>
            <w:pPr>
              <w:spacing w:before="0" w:after="0"/>
            </w:pPr>
            <w:r>
              <w:rPr>
                <w:rFonts w:ascii="Calibri" w:hAnsi="Calibri"/>
                <w:color w:val="222222"/>
                <w:sz w:val="19"/>
              </w:rPr>
              <w:t>Faculty Coordinator / Lead</w:t>
            </w:r>
          </w:p>
        </w:tc>
        <w:tc>
          <w:tcPr>
            <w:tcW w:type="dxa" w:w="3600"/>
            <w:shd w:fill="FBFBFB"/>
            <w:tcMar>
              <w:top w:w="100" w:type="dxa"/>
              <w:bottom w:w="100" w:type="dxa"/>
              <w:left w:w="150" w:type="dxa"/>
              <w:right w:w="150" w:type="dxa"/>
            </w:tcMar>
            <w:vAlign w:val="center"/>
          </w:tcPr>
          <w:p>
            <w:pPr>
              <w:spacing w:before="0" w:after="0"/>
            </w:pPr>
            <w:r>
              <w:rPr>
                <w:rFonts w:ascii="Calibri" w:hAnsi="Calibri"/>
                <w:color w:val="222222"/>
                <w:sz w:val="19"/>
              </w:rPr>
              <w:t>Configures event rules, team sizes, deadlines, custom forms, and pricing tiers.</w:t>
            </w:r>
          </w:p>
        </w:tc>
        <w:tc>
          <w:tcPr>
            <w:tcW w:type="dxa" w:w="2160"/>
            <w:shd w:fill="FBFBFB"/>
            <w:tcMar>
              <w:top w:w="100" w:type="dxa"/>
              <w:bottom w:w="100" w:type="dxa"/>
              <w:left w:w="150" w:type="dxa"/>
              <w:right w:w="150" w:type="dxa"/>
            </w:tcMar>
            <w:vAlign w:val="center"/>
          </w:tcPr>
          <w:p>
            <w:pPr>
              <w:spacing w:before="0" w:after="0"/>
            </w:pPr>
            <w:r>
              <w:rPr>
                <w:rFonts w:ascii="Calibri" w:hAnsi="Calibri"/>
                <w:color w:val="222222"/>
                <w:sz w:val="19"/>
              </w:rPr>
              <w:t>Requires departmental authorization; changes audit-logged.</w:t>
            </w:r>
          </w:p>
        </w:tc>
      </w:tr>
      <w:tr>
        <w:tc>
          <w:tcPr>
            <w:tcW w:type="dxa" w:w="2016"/>
            <w:shd w:fill="FFFFFF"/>
            <w:tcMar>
              <w:top w:w="100" w:type="dxa"/>
              <w:bottom w:w="100" w:type="dxa"/>
              <w:left w:w="150" w:type="dxa"/>
              <w:right w:w="150" w:type="dxa"/>
            </w:tcMar>
            <w:vAlign w:val="center"/>
          </w:tcPr>
          <w:p>
            <w:pPr>
              <w:spacing w:before="0" w:after="0"/>
            </w:pPr>
            <w:r>
              <w:rPr>
                <w:rFonts w:ascii="Calibri" w:hAnsi="Calibri"/>
                <w:color w:val="222222"/>
                <w:sz w:val="19"/>
              </w:rPr>
              <w:t>2. Registration &amp; Intake</w:t>
            </w:r>
          </w:p>
        </w:tc>
        <w:tc>
          <w:tcPr>
            <w:tcW w:type="dxa" w:w="2160"/>
            <w:shd w:fill="FFFFFF"/>
            <w:tcMar>
              <w:top w:w="100" w:type="dxa"/>
              <w:bottom w:w="100" w:type="dxa"/>
              <w:left w:w="150" w:type="dxa"/>
              <w:right w:w="150" w:type="dxa"/>
            </w:tcMar>
            <w:vAlign w:val="center"/>
          </w:tcPr>
          <w:p>
            <w:pPr>
              <w:spacing w:before="0" w:after="0"/>
            </w:pPr>
            <w:r>
              <w:rPr>
                <w:rFonts w:ascii="Calibri" w:hAnsi="Calibri"/>
                <w:color w:val="222222"/>
                <w:sz w:val="19"/>
              </w:rPr>
              <w:t>Student / External Attendee</w:t>
            </w:r>
          </w:p>
        </w:tc>
        <w:tc>
          <w:tcPr>
            <w:tcW w:type="dxa" w:w="3600"/>
            <w:shd w:fill="FFFFFF"/>
            <w:tcMar>
              <w:top w:w="100" w:type="dxa"/>
              <w:bottom w:w="100" w:type="dxa"/>
              <w:left w:w="150" w:type="dxa"/>
              <w:right w:w="150" w:type="dxa"/>
            </w:tcMar>
            <w:vAlign w:val="center"/>
          </w:tcPr>
          <w:p>
            <w:pPr>
              <w:spacing w:before="0" w:after="0"/>
            </w:pPr>
            <w:r>
              <w:rPr>
                <w:rFonts w:ascii="Calibri" w:hAnsi="Calibri"/>
                <w:color w:val="222222"/>
                <w:sz w:val="19"/>
              </w:rPr>
              <w:t>Fills validated form fields; uploads payment reference or executes checkout; receives digital ticket.</w:t>
            </w:r>
          </w:p>
        </w:tc>
        <w:tc>
          <w:tcPr>
            <w:tcW w:type="dxa" w:w="2160"/>
            <w:shd w:fill="FFFFFF"/>
            <w:tcMar>
              <w:top w:w="100" w:type="dxa"/>
              <w:bottom w:w="100" w:type="dxa"/>
              <w:left w:w="150" w:type="dxa"/>
              <w:right w:w="150" w:type="dxa"/>
            </w:tcMar>
            <w:vAlign w:val="center"/>
          </w:tcPr>
          <w:p>
            <w:pPr>
              <w:spacing w:before="0" w:after="0"/>
            </w:pPr>
            <w:r>
              <w:rPr>
                <w:rFonts w:ascii="Calibri" w:hAnsi="Calibri"/>
                <w:color w:val="222222"/>
                <w:sz w:val="19"/>
              </w:rPr>
              <w:t>Prevents duplicate submissions, verifies UTR formats, reserves seat locks.</w:t>
            </w:r>
          </w:p>
        </w:tc>
      </w:tr>
      <w:tr>
        <w:tc>
          <w:tcPr>
            <w:tcW w:type="dxa" w:w="2016"/>
            <w:shd w:fill="FBFBFB"/>
            <w:tcMar>
              <w:top w:w="100" w:type="dxa"/>
              <w:bottom w:w="100" w:type="dxa"/>
              <w:left w:w="150" w:type="dxa"/>
              <w:right w:w="150" w:type="dxa"/>
            </w:tcMar>
            <w:vAlign w:val="center"/>
          </w:tcPr>
          <w:p>
            <w:pPr>
              <w:spacing w:before="0" w:after="0"/>
            </w:pPr>
            <w:r>
              <w:rPr>
                <w:rFonts w:ascii="Calibri" w:hAnsi="Calibri"/>
                <w:color w:val="222222"/>
                <w:sz w:val="19"/>
              </w:rPr>
              <w:t>3. Day-of-Event Check-in</w:t>
            </w:r>
          </w:p>
        </w:tc>
        <w:tc>
          <w:tcPr>
            <w:tcW w:type="dxa" w:w="2160"/>
            <w:shd w:fill="FBFBFB"/>
            <w:tcMar>
              <w:top w:w="100" w:type="dxa"/>
              <w:bottom w:w="100" w:type="dxa"/>
              <w:left w:w="150" w:type="dxa"/>
              <w:right w:w="150" w:type="dxa"/>
            </w:tcMar>
            <w:vAlign w:val="center"/>
          </w:tcPr>
          <w:p>
            <w:pPr>
              <w:spacing w:before="0" w:after="0"/>
            </w:pPr>
            <w:r>
              <w:rPr>
                <w:rFonts w:ascii="Calibri" w:hAnsi="Calibri"/>
                <w:color w:val="222222"/>
                <w:sz w:val="19"/>
              </w:rPr>
              <w:t>Gate Volunteer / Staff</w:t>
            </w:r>
          </w:p>
        </w:tc>
        <w:tc>
          <w:tcPr>
            <w:tcW w:type="dxa" w:w="3600"/>
            <w:shd w:fill="FBFBFB"/>
            <w:tcMar>
              <w:top w:w="100" w:type="dxa"/>
              <w:bottom w:w="100" w:type="dxa"/>
              <w:left w:w="150" w:type="dxa"/>
              <w:right w:w="150" w:type="dxa"/>
            </w:tcMar>
            <w:vAlign w:val="center"/>
          </w:tcPr>
          <w:p>
            <w:pPr>
              <w:spacing w:before="0" w:after="0"/>
            </w:pPr>
            <w:r>
              <w:rPr>
                <w:rFonts w:ascii="Calibri" w:hAnsi="Calibri"/>
                <w:color w:val="222222"/>
                <w:sz w:val="19"/>
              </w:rPr>
              <w:t>Scans attendee QR via camera; receives instant visual confirmation; marks attendee present.</w:t>
            </w:r>
          </w:p>
        </w:tc>
        <w:tc>
          <w:tcPr>
            <w:tcW w:type="dxa" w:w="2160"/>
            <w:shd w:fill="FBFBFB"/>
            <w:tcMar>
              <w:top w:w="100" w:type="dxa"/>
              <w:bottom w:w="100" w:type="dxa"/>
              <w:left w:w="150" w:type="dxa"/>
              <w:right w:w="150" w:type="dxa"/>
            </w:tcMar>
            <w:vAlign w:val="center"/>
          </w:tcPr>
          <w:p>
            <w:pPr>
              <w:spacing w:before="0" w:after="0"/>
            </w:pPr>
            <w:r>
              <w:rPr>
                <w:rFonts w:ascii="Calibri" w:hAnsi="Calibri"/>
                <w:color w:val="222222"/>
                <w:sz w:val="19"/>
              </w:rPr>
              <w:t>Detects re-used or counterfeit tickets; syncs with offline roll-call storage.</w:t>
            </w:r>
          </w:p>
        </w:tc>
      </w:tr>
      <w:tr>
        <w:tc>
          <w:tcPr>
            <w:tcW w:type="dxa" w:w="2016"/>
            <w:shd w:fill="FFFFFF"/>
            <w:tcMar>
              <w:top w:w="100" w:type="dxa"/>
              <w:bottom w:w="100" w:type="dxa"/>
              <w:left w:w="150" w:type="dxa"/>
              <w:right w:w="150" w:type="dxa"/>
            </w:tcMar>
            <w:vAlign w:val="center"/>
          </w:tcPr>
          <w:p>
            <w:pPr>
              <w:spacing w:before="0" w:after="0"/>
            </w:pPr>
            <w:r>
              <w:rPr>
                <w:rFonts w:ascii="Calibri" w:hAnsi="Calibri"/>
                <w:color w:val="222222"/>
                <w:sz w:val="19"/>
              </w:rPr>
              <w:t>4. Post-Event &amp; Reporting</w:t>
            </w:r>
          </w:p>
        </w:tc>
        <w:tc>
          <w:tcPr>
            <w:tcW w:type="dxa" w:w="2160"/>
            <w:shd w:fill="FFFFFF"/>
            <w:tcMar>
              <w:top w:w="100" w:type="dxa"/>
              <w:bottom w:w="100" w:type="dxa"/>
              <w:left w:w="150" w:type="dxa"/>
              <w:right w:w="150" w:type="dxa"/>
            </w:tcMar>
            <w:vAlign w:val="center"/>
          </w:tcPr>
          <w:p>
            <w:pPr>
              <w:spacing w:before="0" w:after="0"/>
            </w:pPr>
            <w:r>
              <w:rPr>
                <w:rFonts w:ascii="Calibri" w:hAnsi="Calibri"/>
                <w:color w:val="222222"/>
                <w:sz w:val="19"/>
              </w:rPr>
              <w:t>Director / IQAC Coordinator</w:t>
            </w:r>
          </w:p>
        </w:tc>
        <w:tc>
          <w:tcPr>
            <w:tcW w:type="dxa" w:w="3600"/>
            <w:shd w:fill="FFFFFF"/>
            <w:tcMar>
              <w:top w:w="100" w:type="dxa"/>
              <w:bottom w:w="100" w:type="dxa"/>
              <w:left w:w="150" w:type="dxa"/>
              <w:right w:w="150" w:type="dxa"/>
            </w:tcMar>
            <w:vAlign w:val="center"/>
          </w:tcPr>
          <w:p>
            <w:pPr>
              <w:spacing w:before="0" w:after="0"/>
            </w:pPr>
            <w:r>
              <w:rPr>
                <w:rFonts w:ascii="Calibri" w:hAnsi="Calibri"/>
                <w:color w:val="222222"/>
                <w:sz w:val="19"/>
              </w:rPr>
              <w:t>One-click generation of NAAC Criteria 5.3 PDF reports, attendance rosters, and merit certificates.</w:t>
            </w:r>
          </w:p>
        </w:tc>
        <w:tc>
          <w:tcPr>
            <w:tcW w:type="dxa" w:w="2160"/>
            <w:shd w:fill="FFFFFF"/>
            <w:tcMar>
              <w:top w:w="100" w:type="dxa"/>
              <w:bottom w:w="100" w:type="dxa"/>
              <w:left w:w="150" w:type="dxa"/>
              <w:right w:w="150" w:type="dxa"/>
            </w:tcMar>
            <w:vAlign w:val="center"/>
          </w:tcPr>
          <w:p>
            <w:pPr>
              <w:spacing w:before="0" w:after="0"/>
            </w:pPr>
            <w:r>
              <w:rPr>
                <w:rFonts w:ascii="Calibri" w:hAnsi="Calibri"/>
                <w:color w:val="222222"/>
                <w:sz w:val="19"/>
              </w:rPr>
              <w:t>Digitally signed certificates; tamper-proof public verification.</w:t>
            </w:r>
          </w:p>
        </w:tc>
      </w:tr>
    </w:tbl>
    <w:p>
      <w:pPr>
        <w:keepNext/>
        <w:spacing w:before="280" w:after="120"/>
      </w:pPr>
      <w:r>
        <w:rPr>
          <w:rFonts w:ascii="Calibri" w:hAnsi="Calibri"/>
          <w:b/>
          <w:color w:val="111111"/>
          <w:sz w:val="26"/>
        </w:rPr>
        <w:t>5. TECHNICAL ARCHITECTURE, SECURITY &amp; DATA GOVERNANCE</w:t>
      </w:r>
    </w:p>
    <w:p>
      <w:pPr>
        <w:spacing w:before="0" w:after="120" w:line="276" w:lineRule="auto"/>
      </w:pPr>
      <w:r>
        <w:rPr>
          <w:rFonts w:ascii="Calibri" w:hAnsi="Calibri"/>
          <w:color w:val="222222"/>
          <w:sz w:val="20"/>
        </w:rPr>
        <w:t>SapthaEvent is engineered as a robust, production-ready enterprise application compliant with industry software engineering standards, data privacy laws, and academic institutional security requirements.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3312"/>
        <w:gridCol w:w="3312"/>
        <w:gridCol w:w="3312"/>
      </w:tblGrid>
      <w:tr>
        <w:tc>
          <w:tcPr>
            <w:tcW w:type="dxa" w:w="2592"/>
            <w:shd w:fill="EAEAEA"/>
            <w:tcMar>
              <w:top w:w="120" w:type="dxa"/>
              <w:bottom w:w="120" w:type="dxa"/>
              <w:left w:w="160" w:type="dxa"/>
              <w:right w:w="160" w:type="dxa"/>
            </w:tcMar>
            <w:vAlign w:val="center"/>
          </w:tcPr>
          <w:p>
            <w:pPr>
              <w:spacing w:before="0" w:after="0"/>
              <w:jc w:val="left"/>
            </w:pPr>
            <w:r>
              <w:rPr>
                <w:rFonts w:ascii="Calibri" w:hAnsi="Calibri"/>
                <w:b/>
                <w:color w:val="111111"/>
                <w:sz w:val="19"/>
              </w:rPr>
              <w:t>ARCHITECTURAL LAYER</w:t>
            </w:r>
          </w:p>
        </w:tc>
        <w:tc>
          <w:tcPr>
            <w:tcW w:type="dxa" w:w="3168"/>
            <w:shd w:fill="EAEAEA"/>
            <w:tcMar>
              <w:top w:w="120" w:type="dxa"/>
              <w:bottom w:w="120" w:type="dxa"/>
              <w:left w:w="160" w:type="dxa"/>
              <w:right w:w="160" w:type="dxa"/>
            </w:tcMar>
            <w:vAlign w:val="center"/>
          </w:tcPr>
          <w:p>
            <w:pPr>
              <w:spacing w:before="0" w:after="0"/>
              <w:jc w:val="left"/>
            </w:pPr>
            <w:r>
              <w:rPr>
                <w:rFonts w:ascii="Calibri" w:hAnsi="Calibri"/>
                <w:b/>
                <w:color w:val="111111"/>
                <w:sz w:val="19"/>
              </w:rPr>
              <w:t>TECHNOLOGY SELECTION</w:t>
            </w:r>
          </w:p>
        </w:tc>
        <w:tc>
          <w:tcPr>
            <w:tcW w:type="dxa" w:w="4176"/>
            <w:shd w:fill="EAEAEA"/>
            <w:tcMar>
              <w:top w:w="120" w:type="dxa"/>
              <w:bottom w:w="120" w:type="dxa"/>
              <w:left w:w="160" w:type="dxa"/>
              <w:right w:w="160" w:type="dxa"/>
            </w:tcMar>
            <w:vAlign w:val="center"/>
          </w:tcPr>
          <w:p>
            <w:pPr>
              <w:spacing w:before="0" w:after="0"/>
              <w:jc w:val="left"/>
            </w:pPr>
            <w:r>
              <w:rPr>
                <w:rFonts w:ascii="Calibri" w:hAnsi="Calibri"/>
                <w:b/>
                <w:color w:val="111111"/>
                <w:sz w:val="19"/>
              </w:rPr>
              <w:t>SPECIFICATIONS &amp; INSTITUTIONAL ADVANTAGE</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Backend Core</w:t>
            </w:r>
          </w:p>
        </w:tc>
        <w:tc>
          <w:tcPr>
            <w:tcW w:type="dxa" w:w="3168"/>
            <w:shd w:fill="FBFBFB"/>
            <w:tcMar>
              <w:top w:w="100" w:type="dxa"/>
              <w:bottom w:w="100" w:type="dxa"/>
              <w:left w:w="150" w:type="dxa"/>
              <w:right w:w="150" w:type="dxa"/>
            </w:tcMar>
            <w:vAlign w:val="center"/>
          </w:tcPr>
          <w:p>
            <w:pPr>
              <w:spacing w:before="0" w:after="0"/>
            </w:pPr>
            <w:r>
              <w:rPr>
                <w:rFonts w:ascii="Calibri" w:hAnsi="Calibri"/>
                <w:color w:val="222222"/>
                <w:sz w:val="19"/>
              </w:rPr>
              <w:t>Python 3.11 / Flask 3.x</w:t>
            </w:r>
          </w:p>
        </w:tc>
        <w:tc>
          <w:tcPr>
            <w:tcW w:type="dxa" w:w="4176"/>
            <w:shd w:fill="FBFBFB"/>
            <w:tcMar>
              <w:top w:w="100" w:type="dxa"/>
              <w:bottom w:w="100" w:type="dxa"/>
              <w:left w:w="150" w:type="dxa"/>
              <w:right w:w="150" w:type="dxa"/>
            </w:tcMar>
            <w:vAlign w:val="center"/>
          </w:tcPr>
          <w:p>
            <w:pPr>
              <w:spacing w:before="0" w:after="0"/>
            </w:pPr>
            <w:r>
              <w:rPr>
                <w:rFonts w:ascii="Calibri" w:hAnsi="Calibri"/>
                <w:color w:val="222222"/>
                <w:sz w:val="19"/>
              </w:rPr>
              <w:t>Lightweight WSGI framework, microservices-ready, minimal server memory footprint (&lt; 150 MB).</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Database Layer</w:t>
            </w:r>
          </w:p>
        </w:tc>
        <w:tc>
          <w:tcPr>
            <w:tcW w:type="dxa" w:w="3168"/>
            <w:shd w:fill="FFFFFF"/>
            <w:tcMar>
              <w:top w:w="100" w:type="dxa"/>
              <w:bottom w:w="100" w:type="dxa"/>
              <w:left w:w="150" w:type="dxa"/>
              <w:right w:w="150" w:type="dxa"/>
            </w:tcMar>
            <w:vAlign w:val="center"/>
          </w:tcPr>
          <w:p>
            <w:pPr>
              <w:spacing w:before="0" w:after="0"/>
            </w:pPr>
            <w:r>
              <w:rPr>
                <w:rFonts w:ascii="Calibri" w:hAnsi="Calibri"/>
                <w:color w:val="222222"/>
                <w:sz w:val="19"/>
              </w:rPr>
              <w:t>PostgreSQL (SQLAlchemy ORM)</w:t>
            </w:r>
          </w:p>
        </w:tc>
        <w:tc>
          <w:tcPr>
            <w:tcW w:type="dxa" w:w="4176"/>
            <w:shd w:fill="FFFFFF"/>
            <w:tcMar>
              <w:top w:w="100" w:type="dxa"/>
              <w:bottom w:w="100" w:type="dxa"/>
              <w:left w:w="150" w:type="dxa"/>
              <w:right w:w="150" w:type="dxa"/>
            </w:tcMar>
            <w:vAlign w:val="center"/>
          </w:tcPr>
          <w:p>
            <w:pPr>
              <w:spacing w:before="0" w:after="0"/>
            </w:pPr>
            <w:r>
              <w:rPr>
                <w:rFonts w:ascii="Calibri" w:hAnsi="Calibri"/>
                <w:color w:val="222222"/>
                <w:sz w:val="19"/>
              </w:rPr>
              <w:t>ACID-compliant relational storage. Includes local zero-config SQLite fallback for disaster recovery and offline continuity.</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Document Engine</w:t>
            </w:r>
          </w:p>
        </w:tc>
        <w:tc>
          <w:tcPr>
            <w:tcW w:type="dxa" w:w="3168"/>
            <w:shd w:fill="FBFBFB"/>
            <w:tcMar>
              <w:top w:w="100" w:type="dxa"/>
              <w:bottom w:w="100" w:type="dxa"/>
              <w:left w:w="150" w:type="dxa"/>
              <w:right w:w="150" w:type="dxa"/>
            </w:tcMar>
            <w:vAlign w:val="center"/>
          </w:tcPr>
          <w:p>
            <w:pPr>
              <w:spacing w:before="0" w:after="0"/>
            </w:pPr>
            <w:r>
              <w:rPr>
                <w:rFonts w:ascii="Calibri" w:hAnsi="Calibri"/>
                <w:color w:val="222222"/>
                <w:sz w:val="19"/>
              </w:rPr>
              <w:t>ReportLab High-Speed Generator</w:t>
            </w:r>
          </w:p>
        </w:tc>
        <w:tc>
          <w:tcPr>
            <w:tcW w:type="dxa" w:w="4176"/>
            <w:shd w:fill="FBFBFB"/>
            <w:tcMar>
              <w:top w:w="100" w:type="dxa"/>
              <w:bottom w:w="100" w:type="dxa"/>
              <w:left w:w="150" w:type="dxa"/>
              <w:right w:w="150" w:type="dxa"/>
            </w:tcMar>
            <w:vAlign w:val="center"/>
          </w:tcPr>
          <w:p>
            <w:pPr>
              <w:spacing w:before="0" w:after="0"/>
            </w:pPr>
            <w:r>
              <w:rPr>
                <w:rFonts w:ascii="Calibri" w:hAnsi="Calibri"/>
                <w:color w:val="222222"/>
                <w:sz w:val="19"/>
              </w:rPr>
              <w:t>Vector-grade PDF rendering engine capable of compiling thousands of certificates and reports in seconds.</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Security &amp; CSRF</w:t>
            </w:r>
          </w:p>
        </w:tc>
        <w:tc>
          <w:tcPr>
            <w:tcW w:type="dxa" w:w="3168"/>
            <w:shd w:fill="FFFFFF"/>
            <w:tcMar>
              <w:top w:w="100" w:type="dxa"/>
              <w:bottom w:w="100" w:type="dxa"/>
              <w:left w:w="150" w:type="dxa"/>
              <w:right w:w="150" w:type="dxa"/>
            </w:tcMar>
            <w:vAlign w:val="center"/>
          </w:tcPr>
          <w:p>
            <w:pPr>
              <w:spacing w:before="0" w:after="0"/>
            </w:pPr>
            <w:r>
              <w:rPr>
                <w:rFonts w:ascii="Calibri" w:hAnsi="Calibri"/>
                <w:color w:val="222222"/>
                <w:sz w:val="19"/>
              </w:rPr>
              <w:t>Flask-WTF &amp; Talisman Middleware</w:t>
            </w:r>
          </w:p>
        </w:tc>
        <w:tc>
          <w:tcPr>
            <w:tcW w:type="dxa" w:w="4176"/>
            <w:shd w:fill="FFFFFF"/>
            <w:tcMar>
              <w:top w:w="100" w:type="dxa"/>
              <w:bottom w:w="100" w:type="dxa"/>
              <w:left w:w="150" w:type="dxa"/>
              <w:right w:w="150" w:type="dxa"/>
            </w:tcMar>
            <w:vAlign w:val="center"/>
          </w:tcPr>
          <w:p>
            <w:pPr>
              <w:spacing w:before="0" w:after="0"/>
            </w:pPr>
            <w:r>
              <w:rPr>
                <w:rFonts w:ascii="Calibri" w:hAnsi="Calibri"/>
                <w:color w:val="222222"/>
                <w:sz w:val="19"/>
              </w:rPr>
              <w:t>Enforces strict CSRF token validation on all mutating POST requests, secure HTTP headers (CSP, HSTS, X-Frame-Options).</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Authentication</w:t>
            </w:r>
          </w:p>
        </w:tc>
        <w:tc>
          <w:tcPr>
            <w:tcW w:type="dxa" w:w="3168"/>
            <w:shd w:fill="FBFBFB"/>
            <w:tcMar>
              <w:top w:w="100" w:type="dxa"/>
              <w:bottom w:w="100" w:type="dxa"/>
              <w:left w:w="150" w:type="dxa"/>
              <w:right w:w="150" w:type="dxa"/>
            </w:tcMar>
            <w:vAlign w:val="center"/>
          </w:tcPr>
          <w:p>
            <w:pPr>
              <w:spacing w:before="0" w:after="0"/>
            </w:pPr>
            <w:r>
              <w:rPr>
                <w:rFonts w:ascii="Calibri" w:hAnsi="Calibri"/>
                <w:color w:val="222222"/>
                <w:sz w:val="19"/>
              </w:rPr>
              <w:t>PBKDF2-SHA256 &amp; Session Guard</w:t>
            </w:r>
          </w:p>
        </w:tc>
        <w:tc>
          <w:tcPr>
            <w:tcW w:type="dxa" w:w="4176"/>
            <w:shd w:fill="FBFBFB"/>
            <w:tcMar>
              <w:top w:w="100" w:type="dxa"/>
              <w:bottom w:w="100" w:type="dxa"/>
              <w:left w:w="150" w:type="dxa"/>
              <w:right w:w="150" w:type="dxa"/>
            </w:tcMar>
            <w:vAlign w:val="center"/>
          </w:tcPr>
          <w:p>
            <w:pPr>
              <w:spacing w:before="0" w:after="0"/>
            </w:pPr>
            <w:r>
              <w:rPr>
                <w:rFonts w:ascii="Calibri" w:hAnsi="Calibri"/>
                <w:color w:val="222222"/>
                <w:sz w:val="19"/>
              </w:rPr>
              <w:t>Cryptographic password hashing, secure HttpOnly/SameSite cookies, brute-force rate-limiting on login endpoints.</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Data Privacy</w:t>
            </w:r>
          </w:p>
        </w:tc>
        <w:tc>
          <w:tcPr>
            <w:tcW w:type="dxa" w:w="3168"/>
            <w:shd w:fill="FFFFFF"/>
            <w:tcMar>
              <w:top w:w="100" w:type="dxa"/>
              <w:bottom w:w="100" w:type="dxa"/>
              <w:left w:w="150" w:type="dxa"/>
              <w:right w:w="150" w:type="dxa"/>
            </w:tcMar>
            <w:vAlign w:val="center"/>
          </w:tcPr>
          <w:p>
            <w:pPr>
              <w:spacing w:before="0" w:after="0"/>
            </w:pPr>
            <w:r>
              <w:rPr>
                <w:rFonts w:ascii="Calibri" w:hAnsi="Calibri"/>
                <w:color w:val="222222"/>
                <w:sz w:val="19"/>
              </w:rPr>
              <w:t>Role-Isolated PII Protection</w:t>
            </w:r>
          </w:p>
        </w:tc>
        <w:tc>
          <w:tcPr>
            <w:tcW w:type="dxa" w:w="4176"/>
            <w:shd w:fill="FFFFFF"/>
            <w:tcMar>
              <w:top w:w="100" w:type="dxa"/>
              <w:bottom w:w="100" w:type="dxa"/>
              <w:left w:w="150" w:type="dxa"/>
              <w:right w:w="150" w:type="dxa"/>
            </w:tcMar>
            <w:vAlign w:val="center"/>
          </w:tcPr>
          <w:p>
            <w:pPr>
              <w:spacing w:before="0" w:after="0"/>
            </w:pPr>
            <w:r>
              <w:rPr>
                <w:rFonts w:ascii="Calibri" w:hAnsi="Calibri"/>
                <w:color w:val="222222"/>
                <w:sz w:val="19"/>
              </w:rPr>
              <w:t>Participant phone numbers and personal data are strictly masked from unauthorized volunteers and external attendees.</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Quality Assurance</w:t>
            </w:r>
          </w:p>
        </w:tc>
        <w:tc>
          <w:tcPr>
            <w:tcW w:type="dxa" w:w="3168"/>
            <w:shd w:fill="FBFBFB"/>
            <w:tcMar>
              <w:top w:w="100" w:type="dxa"/>
              <w:bottom w:w="100" w:type="dxa"/>
              <w:left w:w="150" w:type="dxa"/>
              <w:right w:w="150" w:type="dxa"/>
            </w:tcMar>
            <w:vAlign w:val="center"/>
          </w:tcPr>
          <w:p>
            <w:pPr>
              <w:spacing w:before="0" w:after="0"/>
            </w:pPr>
            <w:r>
              <w:rPr>
                <w:rFonts w:ascii="Calibri" w:hAnsi="Calibri"/>
                <w:color w:val="222222"/>
                <w:sz w:val="19"/>
              </w:rPr>
              <w:t>Automated Pytest Suite</w:t>
            </w:r>
          </w:p>
        </w:tc>
        <w:tc>
          <w:tcPr>
            <w:tcW w:type="dxa" w:w="4176"/>
            <w:shd w:fill="FBFBFB"/>
            <w:tcMar>
              <w:top w:w="100" w:type="dxa"/>
              <w:bottom w:w="100" w:type="dxa"/>
              <w:left w:w="150" w:type="dxa"/>
              <w:right w:w="150" w:type="dxa"/>
            </w:tcMar>
            <w:vAlign w:val="center"/>
          </w:tcPr>
          <w:p>
            <w:pPr>
              <w:spacing w:before="0" w:after="0"/>
            </w:pPr>
            <w:r>
              <w:rPr>
                <w:rFonts w:ascii="Calibri" w:hAnsi="Calibri"/>
                <w:color w:val="222222"/>
                <w:sz w:val="19"/>
              </w:rPr>
              <w:t>145 comprehensive automated tests passing with 100% verification across security, payments, ticketing, and scheduling.</w:t>
            </w:r>
          </w:p>
        </w:tc>
      </w:tr>
    </w:tbl>
    <w:p>
      <w:pPr>
        <w:keepNext/>
        <w:spacing w:before="280" w:after="120"/>
      </w:pPr>
      <w:r>
        <w:rPr>
          <w:rFonts w:ascii="Calibri" w:hAnsi="Calibri"/>
          <w:b/>
          <w:color w:val="111111"/>
          <w:sz w:val="26"/>
        </w:rPr>
        <w:t>6. INFRASTRUCTURE &amp; HOSTING COST FEASIBILITY FOR SNPSU</w:t>
      </w:r>
    </w:p>
    <w:p>
      <w:pPr>
        <w:spacing w:before="0" w:after="120" w:line="276" w:lineRule="auto"/>
      </w:pPr>
      <w:r>
        <w:rPr>
          <w:rFonts w:ascii="Calibri" w:hAnsi="Calibri"/>
          <w:color w:val="222222"/>
          <w:sz w:val="20"/>
        </w:rPr>
        <w:t>Because SapthaEvent is an indigenous asset engineered by Team InnovEdge, there are zero commercial software licensing fees. The financial requirements are strictly limited to the minimal server space and compute required to store and handle the data and event operations for Sapthagiri NPS University (SNPSU) alone (~5,000–8,000 students across all departments).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484"/>
        <w:gridCol w:w="2484"/>
        <w:gridCol w:w="2484"/>
        <w:gridCol w:w="2484"/>
      </w:tblGrid>
      <w:tr>
        <w:tc>
          <w:tcPr>
            <w:tcW w:type="dxa" w:w="2592"/>
            <w:shd w:fill="EAEAEA"/>
            <w:tcMar>
              <w:top w:w="120" w:type="dxa"/>
              <w:bottom w:w="120" w:type="dxa"/>
              <w:left w:w="160" w:type="dxa"/>
              <w:right w:w="160" w:type="dxa"/>
            </w:tcMar>
            <w:vAlign w:val="center"/>
          </w:tcPr>
          <w:p>
            <w:pPr>
              <w:spacing w:before="0" w:after="0"/>
              <w:jc w:val="left"/>
            </w:pPr>
            <w:r>
              <w:rPr>
                <w:rFonts w:ascii="Calibri" w:hAnsi="Calibri"/>
                <w:b/>
                <w:color w:val="111111"/>
                <w:sz w:val="19"/>
              </w:rPr>
              <w:t>OPERATIONAL RESOURCE</w:t>
            </w:r>
          </w:p>
        </w:tc>
        <w:tc>
          <w:tcPr>
            <w:tcW w:type="dxa" w:w="2880"/>
            <w:shd w:fill="EAEAEA"/>
            <w:tcMar>
              <w:top w:w="120" w:type="dxa"/>
              <w:bottom w:w="120" w:type="dxa"/>
              <w:left w:w="160" w:type="dxa"/>
              <w:right w:w="160" w:type="dxa"/>
            </w:tcMar>
            <w:vAlign w:val="center"/>
          </w:tcPr>
          <w:p>
            <w:pPr>
              <w:spacing w:before="0" w:after="0"/>
              <w:jc w:val="left"/>
            </w:pPr>
            <w:r>
              <w:rPr>
                <w:rFonts w:ascii="Calibri" w:hAnsi="Calibri"/>
                <w:b/>
                <w:color w:val="111111"/>
                <w:sz w:val="19"/>
              </w:rPr>
              <w:t>COMMERCIAL SAAS (EVENTBRITE/VFAIRS)</w:t>
            </w:r>
          </w:p>
        </w:tc>
        <w:tc>
          <w:tcPr>
            <w:tcW w:type="dxa" w:w="2592"/>
            <w:shd w:fill="EAEAEA"/>
            <w:tcMar>
              <w:top w:w="120" w:type="dxa"/>
              <w:bottom w:w="120" w:type="dxa"/>
              <w:left w:w="160" w:type="dxa"/>
              <w:right w:w="160" w:type="dxa"/>
            </w:tcMar>
            <w:vAlign w:val="center"/>
          </w:tcPr>
          <w:p>
            <w:pPr>
              <w:spacing w:before="0" w:after="0"/>
              <w:jc w:val="left"/>
            </w:pPr>
            <w:r>
              <w:rPr>
                <w:rFonts w:ascii="Calibri" w:hAnsi="Calibri"/>
                <w:b/>
                <w:color w:val="111111"/>
                <w:sz w:val="19"/>
              </w:rPr>
              <w:t>SAPTHAEVENT FOR SNPSU</w:t>
            </w:r>
          </w:p>
        </w:tc>
        <w:tc>
          <w:tcPr>
            <w:tcW w:type="dxa" w:w="1872"/>
            <w:shd w:fill="EAEAEA"/>
            <w:tcMar>
              <w:top w:w="120" w:type="dxa"/>
              <w:bottom w:w="120" w:type="dxa"/>
              <w:left w:w="160" w:type="dxa"/>
              <w:right w:w="160" w:type="dxa"/>
            </w:tcMar>
            <w:vAlign w:val="center"/>
          </w:tcPr>
          <w:p>
            <w:pPr>
              <w:spacing w:before="0" w:after="0"/>
              <w:jc w:val="left"/>
            </w:pPr>
            <w:r>
              <w:rPr>
                <w:rFonts w:ascii="Calibri" w:hAnsi="Calibri"/>
                <w:b/>
                <w:color w:val="111111"/>
                <w:sz w:val="19"/>
              </w:rPr>
              <w:t>INSTITUTIONAL SAVINGS</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Platform Software License</w:t>
            </w:r>
          </w:p>
        </w:tc>
        <w:tc>
          <w:tcPr>
            <w:tcW w:type="dxa" w:w="2880"/>
            <w:shd w:fill="FBFBFB"/>
            <w:tcMar>
              <w:top w:w="100" w:type="dxa"/>
              <w:bottom w:w="100" w:type="dxa"/>
              <w:left w:w="150" w:type="dxa"/>
              <w:right w:w="150" w:type="dxa"/>
            </w:tcMar>
            <w:vAlign w:val="center"/>
          </w:tcPr>
          <w:p>
            <w:pPr>
              <w:spacing w:before="0" w:after="0"/>
            </w:pPr>
            <w:r>
              <w:rPr>
                <w:rFonts w:ascii="Calibri" w:hAnsi="Calibri"/>
                <w:color w:val="222222"/>
                <w:sz w:val="19"/>
              </w:rPr>
              <w:t>INR 2,50,000 – INR 5,00,000 / year</w:t>
            </w:r>
          </w:p>
        </w:tc>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INR 0 (Developed In-House by InnovEdge)</w:t>
            </w:r>
          </w:p>
        </w:tc>
        <w:tc>
          <w:tcPr>
            <w:tcW w:type="dxa" w:w="1872"/>
            <w:shd w:fill="FBFBFB"/>
            <w:tcMar>
              <w:top w:w="100" w:type="dxa"/>
              <w:bottom w:w="100" w:type="dxa"/>
              <w:left w:w="150" w:type="dxa"/>
              <w:right w:w="150" w:type="dxa"/>
            </w:tcMar>
            <w:vAlign w:val="center"/>
          </w:tcPr>
          <w:p>
            <w:pPr>
              <w:spacing w:before="0" w:after="0"/>
            </w:pPr>
            <w:r>
              <w:rPr>
                <w:rFonts w:ascii="Calibri" w:hAnsi="Calibri"/>
                <w:color w:val="222222"/>
                <w:sz w:val="19"/>
              </w:rPr>
              <w:t>100% Software License Saved</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Per-Registration Commission</w:t>
            </w:r>
          </w:p>
        </w:tc>
        <w:tc>
          <w:tcPr>
            <w:tcW w:type="dxa" w:w="2880"/>
            <w:shd w:fill="FFFFFF"/>
            <w:tcMar>
              <w:top w:w="100" w:type="dxa"/>
              <w:bottom w:w="100" w:type="dxa"/>
              <w:left w:w="150" w:type="dxa"/>
              <w:right w:w="150" w:type="dxa"/>
            </w:tcMar>
            <w:vAlign w:val="center"/>
          </w:tcPr>
          <w:p>
            <w:pPr>
              <w:spacing w:before="0" w:after="0"/>
            </w:pPr>
            <w:r>
              <w:rPr>
                <w:rFonts w:ascii="Calibri" w:hAnsi="Calibri"/>
                <w:color w:val="222222"/>
                <w:sz w:val="19"/>
              </w:rPr>
              <w:t>3% to 7% cut on all paid registrations</w:t>
            </w:r>
          </w:p>
        </w:tc>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INR 0 (Zero platform cut for SNPSU)</w:t>
            </w:r>
          </w:p>
        </w:tc>
        <w:tc>
          <w:tcPr>
            <w:tcW w:type="dxa" w:w="1872"/>
            <w:shd w:fill="FFFFFF"/>
            <w:tcMar>
              <w:top w:w="100" w:type="dxa"/>
              <w:bottom w:w="100" w:type="dxa"/>
              <w:left w:w="150" w:type="dxa"/>
              <w:right w:w="150" w:type="dxa"/>
            </w:tcMar>
            <w:vAlign w:val="center"/>
          </w:tcPr>
          <w:p>
            <w:pPr>
              <w:spacing w:before="0" w:after="0"/>
            </w:pPr>
            <w:r>
              <w:rPr>
                <w:rFonts w:ascii="Calibri" w:hAnsi="Calibri"/>
                <w:color w:val="222222"/>
                <w:sz w:val="19"/>
              </w:rPr>
              <w:t>100% Event Funds Retained</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Server Space &amp; Compute</w:t>
            </w:r>
          </w:p>
        </w:tc>
        <w:tc>
          <w:tcPr>
            <w:tcW w:type="dxa" w:w="2880"/>
            <w:shd w:fill="FBFBFB"/>
            <w:tcMar>
              <w:top w:w="100" w:type="dxa"/>
              <w:bottom w:w="100" w:type="dxa"/>
              <w:left w:w="150" w:type="dxa"/>
              <w:right w:w="150" w:type="dxa"/>
            </w:tcMar>
            <w:vAlign w:val="center"/>
          </w:tcPr>
          <w:p>
            <w:pPr>
              <w:spacing w:before="0" w:after="0"/>
            </w:pPr>
            <w:r>
              <w:rPr>
                <w:rFonts w:ascii="Calibri" w:hAnsi="Calibri"/>
                <w:color w:val="222222"/>
                <w:sz w:val="19"/>
              </w:rPr>
              <w:t>Billed as part of costly enterprise tiers</w:t>
            </w:r>
          </w:p>
        </w:tc>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Minimal Campus Server / Cloud (~INR 400/mo)</w:t>
            </w:r>
          </w:p>
        </w:tc>
        <w:tc>
          <w:tcPr>
            <w:tcW w:type="dxa" w:w="1872"/>
            <w:shd w:fill="FBFBFB"/>
            <w:tcMar>
              <w:top w:w="100" w:type="dxa"/>
              <w:bottom w:w="100" w:type="dxa"/>
              <w:left w:w="150" w:type="dxa"/>
              <w:right w:w="150" w:type="dxa"/>
            </w:tcMar>
            <w:vAlign w:val="center"/>
          </w:tcPr>
          <w:p>
            <w:pPr>
              <w:spacing w:before="0" w:after="0"/>
            </w:pPr>
            <w:r>
              <w:rPr>
                <w:rFonts w:ascii="Calibri" w:hAnsi="Calibri"/>
                <w:color w:val="222222"/>
                <w:sz w:val="19"/>
              </w:rPr>
              <w:t>Negligible Operational Expense</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Database Storage (SNPSU Data)</w:t>
            </w:r>
          </w:p>
        </w:tc>
        <w:tc>
          <w:tcPr>
            <w:tcW w:type="dxa" w:w="2880"/>
            <w:shd w:fill="FFFFFF"/>
            <w:tcMar>
              <w:top w:w="100" w:type="dxa"/>
              <w:bottom w:w="100" w:type="dxa"/>
              <w:left w:w="150" w:type="dxa"/>
              <w:right w:w="150" w:type="dxa"/>
            </w:tcMar>
            <w:vAlign w:val="center"/>
          </w:tcPr>
          <w:p>
            <w:pPr>
              <w:spacing w:before="0" w:after="0"/>
            </w:pPr>
            <w:r>
              <w:rPr>
                <w:rFonts w:ascii="Calibri" w:hAnsi="Calibri"/>
                <w:color w:val="222222"/>
                <w:sz w:val="19"/>
              </w:rPr>
              <w:t>Hosted externally on vendor clouds</w:t>
            </w:r>
          </w:p>
        </w:tc>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Local / Managed SQL (~300MB for SNPSU)</w:t>
            </w:r>
          </w:p>
        </w:tc>
        <w:tc>
          <w:tcPr>
            <w:tcW w:type="dxa" w:w="1872"/>
            <w:shd w:fill="FFFFFF"/>
            <w:tcMar>
              <w:top w:w="100" w:type="dxa"/>
              <w:bottom w:w="100" w:type="dxa"/>
              <w:left w:w="150" w:type="dxa"/>
              <w:right w:w="150" w:type="dxa"/>
            </w:tcMar>
            <w:vAlign w:val="center"/>
          </w:tcPr>
          <w:p>
            <w:pPr>
              <w:spacing w:before="0" w:after="0"/>
            </w:pPr>
            <w:r>
              <w:rPr>
                <w:rFonts w:ascii="Calibri" w:hAnsi="Calibri"/>
                <w:color w:val="222222"/>
                <w:sz w:val="19"/>
              </w:rPr>
              <w:t>100% Student Privacy &amp; Sovereignty</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Certificate Generation</w:t>
            </w:r>
          </w:p>
        </w:tc>
        <w:tc>
          <w:tcPr>
            <w:tcW w:type="dxa" w:w="2880"/>
            <w:shd w:fill="FBFBFB"/>
            <w:tcMar>
              <w:top w:w="100" w:type="dxa"/>
              <w:bottom w:w="100" w:type="dxa"/>
              <w:left w:w="150" w:type="dxa"/>
              <w:right w:w="150" w:type="dxa"/>
            </w:tcMar>
            <w:vAlign w:val="center"/>
          </w:tcPr>
          <w:p>
            <w:pPr>
              <w:spacing w:before="0" w:after="0"/>
            </w:pPr>
            <w:r>
              <w:rPr>
                <w:rFonts w:ascii="Calibri" w:hAnsi="Calibri"/>
                <w:color w:val="222222"/>
                <w:sz w:val="19"/>
              </w:rPr>
              <w:t>Third-party add-on (INR 5 – 10 / cert)</w:t>
            </w:r>
          </w:p>
        </w:tc>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Unlimited Vector PDF Engine Included</w:t>
            </w:r>
          </w:p>
        </w:tc>
        <w:tc>
          <w:tcPr>
            <w:tcW w:type="dxa" w:w="1872"/>
            <w:shd w:fill="FBFBFB"/>
            <w:tcMar>
              <w:top w:w="100" w:type="dxa"/>
              <w:bottom w:w="100" w:type="dxa"/>
              <w:left w:w="150" w:type="dxa"/>
              <w:right w:w="150" w:type="dxa"/>
            </w:tcMar>
            <w:vAlign w:val="center"/>
          </w:tcPr>
          <w:p>
            <w:pPr>
              <w:spacing w:before="0" w:after="0"/>
            </w:pPr>
            <w:r>
              <w:rPr>
                <w:rFonts w:ascii="Calibri" w:hAnsi="Calibri"/>
                <w:color w:val="222222"/>
                <w:sz w:val="19"/>
              </w:rPr>
              <w:t>INR 50,000+ saved on certificate printing</w:t>
            </w:r>
          </w:p>
        </w:tc>
      </w:tr>
    </w:tbl>
    <w:p>
      <w:pPr>
        <w:spacing w:before="0" w:after="160" w:line="276" w:lineRule="auto"/>
      </w:pPr>
      <w:r>
        <w:rPr>
          <w:rFonts w:ascii="Calibri" w:hAnsi="Calibri"/>
          <w:color w:val="222222"/>
          <w:sz w:val="20"/>
        </w:rPr>
        <w:t>Summary for SNPSU Administration: Deploying SapthaEvent saves the university an estimated INR 2,50,000 to INR 5,00,000 annually compared to external event platforms. The total infrastructure cost to run the system across all departments of SNPSU is negligible (under INR 5,000 annually or INR 0 if hosted on internal campus servers).</w:t>
      </w:r>
    </w:p>
    <w:p>
      <w:pPr>
        <w:keepNext/>
        <w:spacing w:before="280" w:after="120"/>
      </w:pPr>
      <w:r>
        <w:rPr>
          <w:rFonts w:ascii="Calibri" w:hAnsi="Calibri"/>
          <w:b/>
          <w:color w:val="111111"/>
          <w:sz w:val="26"/>
        </w:rPr>
        <w:t>7. ROLLOUT ROADMAP, DEPARTMENTAL PILOT &amp; REQUISITION</w:t>
      </w:r>
    </w:p>
    <w:p>
      <w:pPr>
        <w:spacing w:before="0" w:after="120" w:line="276" w:lineRule="auto"/>
      </w:pPr>
      <w:r>
        <w:rPr>
          <w:rFonts w:ascii="Calibri" w:hAnsi="Calibri"/>
          <w:color w:val="222222"/>
          <w:sz w:val="20"/>
        </w:rPr>
        <w:t>To ensure a seamless, zero-friction transition, Team InnovEdge proposes a phased 4-stage implementation schedule for Sapthagiri NPS University: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484"/>
        <w:gridCol w:w="2484"/>
        <w:gridCol w:w="2484"/>
        <w:gridCol w:w="2484"/>
      </w:tblGrid>
      <w:tr>
        <w:tc>
          <w:tcPr>
            <w:tcW w:type="dxa" w:w="2016"/>
            <w:shd w:fill="EAEAEA"/>
            <w:tcMar>
              <w:top w:w="120" w:type="dxa"/>
              <w:bottom w:w="120" w:type="dxa"/>
              <w:left w:w="160" w:type="dxa"/>
              <w:right w:w="160" w:type="dxa"/>
            </w:tcMar>
            <w:vAlign w:val="center"/>
          </w:tcPr>
          <w:p>
            <w:pPr>
              <w:spacing w:before="0" w:after="0"/>
              <w:jc w:val="left"/>
            </w:pPr>
            <w:r>
              <w:rPr>
                <w:rFonts w:ascii="Calibri" w:hAnsi="Calibri"/>
                <w:b/>
                <w:color w:val="111111"/>
                <w:sz w:val="19"/>
              </w:rPr>
              <w:t>PHASE</w:t>
            </w:r>
          </w:p>
        </w:tc>
        <w:tc>
          <w:tcPr>
            <w:tcW w:type="dxa" w:w="1440"/>
            <w:shd w:fill="EAEAEA"/>
            <w:tcMar>
              <w:top w:w="120" w:type="dxa"/>
              <w:bottom w:w="120" w:type="dxa"/>
              <w:left w:w="160" w:type="dxa"/>
              <w:right w:w="160" w:type="dxa"/>
            </w:tcMar>
            <w:vAlign w:val="center"/>
          </w:tcPr>
          <w:p>
            <w:pPr>
              <w:spacing w:before="0" w:after="0"/>
              <w:jc w:val="left"/>
            </w:pPr>
            <w:r>
              <w:rPr>
                <w:rFonts w:ascii="Calibri" w:hAnsi="Calibri"/>
                <w:b/>
                <w:color w:val="111111"/>
                <w:sz w:val="19"/>
              </w:rPr>
              <w:t>TIMELINE</w:t>
            </w:r>
          </w:p>
        </w:tc>
        <w:tc>
          <w:tcPr>
            <w:tcW w:type="dxa" w:w="4032"/>
            <w:shd w:fill="EAEAEA"/>
            <w:tcMar>
              <w:top w:w="120" w:type="dxa"/>
              <w:bottom w:w="120" w:type="dxa"/>
              <w:left w:w="160" w:type="dxa"/>
              <w:right w:w="160" w:type="dxa"/>
            </w:tcMar>
            <w:vAlign w:val="center"/>
          </w:tcPr>
          <w:p>
            <w:pPr>
              <w:spacing w:before="0" w:after="0"/>
              <w:jc w:val="left"/>
            </w:pPr>
            <w:r>
              <w:rPr>
                <w:rFonts w:ascii="Calibri" w:hAnsi="Calibri"/>
                <w:b/>
                <w:color w:val="111111"/>
                <w:sz w:val="19"/>
              </w:rPr>
              <w:t>OPERATIONAL FOCUS &amp; DELIVERABLES</w:t>
            </w:r>
          </w:p>
        </w:tc>
        <w:tc>
          <w:tcPr>
            <w:tcW w:type="dxa" w:w="2448"/>
            <w:shd w:fill="EAEAEA"/>
            <w:tcMar>
              <w:top w:w="120" w:type="dxa"/>
              <w:bottom w:w="120" w:type="dxa"/>
              <w:left w:w="160" w:type="dxa"/>
              <w:right w:w="160" w:type="dxa"/>
            </w:tcMar>
            <w:vAlign w:val="center"/>
          </w:tcPr>
          <w:p>
            <w:pPr>
              <w:spacing w:before="0" w:after="0"/>
              <w:jc w:val="left"/>
            </w:pPr>
            <w:r>
              <w:rPr>
                <w:rFonts w:ascii="Calibri" w:hAnsi="Calibri"/>
                <w:b/>
                <w:color w:val="111111"/>
                <w:sz w:val="19"/>
              </w:rPr>
              <w:t>STAKEHOLDERS INVOLVED</w:t>
            </w:r>
          </w:p>
        </w:tc>
      </w:tr>
      <w:tr>
        <w:tc>
          <w:tcPr>
            <w:tcW w:type="dxa" w:w="2016"/>
            <w:shd w:fill="FBFBFB"/>
            <w:tcMar>
              <w:top w:w="100" w:type="dxa"/>
              <w:bottom w:w="100" w:type="dxa"/>
              <w:left w:w="150" w:type="dxa"/>
              <w:right w:w="150" w:type="dxa"/>
            </w:tcMar>
            <w:vAlign w:val="center"/>
          </w:tcPr>
          <w:p>
            <w:pPr>
              <w:spacing w:before="0" w:after="0"/>
            </w:pPr>
            <w:r>
              <w:rPr>
                <w:rFonts w:ascii="Calibri" w:hAnsi="Calibri"/>
                <w:color w:val="222222"/>
                <w:sz w:val="19"/>
              </w:rPr>
              <w:t>Phase I: Infrastructure</w:t>
            </w:r>
          </w:p>
        </w:tc>
        <w:tc>
          <w:tcPr>
            <w:tcW w:type="dxa" w:w="1440"/>
            <w:shd w:fill="FBFBFB"/>
            <w:tcMar>
              <w:top w:w="100" w:type="dxa"/>
              <w:bottom w:w="100" w:type="dxa"/>
              <w:left w:w="150" w:type="dxa"/>
              <w:right w:w="150" w:type="dxa"/>
            </w:tcMar>
            <w:vAlign w:val="center"/>
          </w:tcPr>
          <w:p>
            <w:pPr>
              <w:spacing w:before="0" w:after="0"/>
            </w:pPr>
            <w:r>
              <w:rPr>
                <w:rFonts w:ascii="Calibri" w:hAnsi="Calibri"/>
                <w:color w:val="222222"/>
                <w:sz w:val="19"/>
              </w:rPr>
              <w:t>Week 1</w:t>
            </w:r>
          </w:p>
        </w:tc>
        <w:tc>
          <w:tcPr>
            <w:tcW w:type="dxa" w:w="4032"/>
            <w:shd w:fill="FBFBFB"/>
            <w:tcMar>
              <w:top w:w="100" w:type="dxa"/>
              <w:bottom w:w="100" w:type="dxa"/>
              <w:left w:w="150" w:type="dxa"/>
              <w:right w:w="150" w:type="dxa"/>
            </w:tcMar>
            <w:vAlign w:val="center"/>
          </w:tcPr>
          <w:p>
            <w:pPr>
              <w:spacing w:before="0" w:after="0"/>
            </w:pPr>
            <w:r>
              <w:rPr>
                <w:rFonts w:ascii="Calibri" w:hAnsi="Calibri"/>
                <w:color w:val="222222"/>
                <w:sz w:val="19"/>
              </w:rPr>
              <w:t>Server provisioning, domain binding (events.snpsu.edu.in), SSL certification, and test deployment.</w:t>
            </w:r>
          </w:p>
        </w:tc>
        <w:tc>
          <w:tcPr>
            <w:tcW w:type="dxa" w:w="2448"/>
            <w:shd w:fill="FBFBFB"/>
            <w:tcMar>
              <w:top w:w="100" w:type="dxa"/>
              <w:bottom w:w="100" w:type="dxa"/>
              <w:left w:w="150" w:type="dxa"/>
              <w:right w:w="150" w:type="dxa"/>
            </w:tcMar>
            <w:vAlign w:val="center"/>
          </w:tcPr>
          <w:p>
            <w:pPr>
              <w:spacing w:before="0" w:after="0"/>
            </w:pPr>
            <w:r>
              <w:rPr>
                <w:rFonts w:ascii="Calibri" w:hAnsi="Calibri"/>
                <w:color w:val="222222"/>
                <w:sz w:val="19"/>
              </w:rPr>
              <w:t>InnovEdge Technical Leads &amp; University IT / Server Admin</w:t>
            </w:r>
          </w:p>
        </w:tc>
      </w:tr>
      <w:tr>
        <w:tc>
          <w:tcPr>
            <w:tcW w:type="dxa" w:w="2016"/>
            <w:shd w:fill="FFFFFF"/>
            <w:tcMar>
              <w:top w:w="100" w:type="dxa"/>
              <w:bottom w:w="100" w:type="dxa"/>
              <w:left w:w="150" w:type="dxa"/>
              <w:right w:w="150" w:type="dxa"/>
            </w:tcMar>
            <w:vAlign w:val="center"/>
          </w:tcPr>
          <w:p>
            <w:pPr>
              <w:spacing w:before="0" w:after="0"/>
            </w:pPr>
            <w:r>
              <w:rPr>
                <w:rFonts w:ascii="Calibri" w:hAnsi="Calibri"/>
                <w:color w:val="222222"/>
                <w:sz w:val="19"/>
              </w:rPr>
              <w:t>Phase II: Department Pilot</w:t>
            </w:r>
          </w:p>
        </w:tc>
        <w:tc>
          <w:tcPr>
            <w:tcW w:type="dxa" w:w="1440"/>
            <w:shd w:fill="FFFFFF"/>
            <w:tcMar>
              <w:top w:w="100" w:type="dxa"/>
              <w:bottom w:w="100" w:type="dxa"/>
              <w:left w:w="150" w:type="dxa"/>
              <w:right w:w="150" w:type="dxa"/>
            </w:tcMar>
            <w:vAlign w:val="center"/>
          </w:tcPr>
          <w:p>
            <w:pPr>
              <w:spacing w:before="0" w:after="0"/>
            </w:pPr>
            <w:r>
              <w:rPr>
                <w:rFonts w:ascii="Calibri" w:hAnsi="Calibri"/>
                <w:color w:val="222222"/>
                <w:sz w:val="19"/>
              </w:rPr>
              <w:t>Weeks 2 – 3</w:t>
            </w:r>
          </w:p>
        </w:tc>
        <w:tc>
          <w:tcPr>
            <w:tcW w:type="dxa" w:w="4032"/>
            <w:shd w:fill="FFFFFF"/>
            <w:tcMar>
              <w:top w:w="100" w:type="dxa"/>
              <w:bottom w:w="100" w:type="dxa"/>
              <w:left w:w="150" w:type="dxa"/>
              <w:right w:w="150" w:type="dxa"/>
            </w:tcMar>
            <w:vAlign w:val="center"/>
          </w:tcPr>
          <w:p>
            <w:pPr>
              <w:spacing w:before="0" w:after="0"/>
            </w:pPr>
            <w:r>
              <w:rPr>
                <w:rFonts w:ascii="Calibri" w:hAnsi="Calibri"/>
                <w:color w:val="222222"/>
                <w:sz w:val="19"/>
              </w:rPr>
              <w:t>Pilot rollout for CSE department technical competitions and workshops; coordinator onboarding.</w:t>
            </w:r>
          </w:p>
        </w:tc>
        <w:tc>
          <w:tcPr>
            <w:tcW w:type="dxa" w:w="2448"/>
            <w:shd w:fill="FFFFFF"/>
            <w:tcMar>
              <w:top w:w="100" w:type="dxa"/>
              <w:bottom w:w="100" w:type="dxa"/>
              <w:left w:w="150" w:type="dxa"/>
              <w:right w:w="150" w:type="dxa"/>
            </w:tcMar>
            <w:vAlign w:val="center"/>
          </w:tcPr>
          <w:p>
            <w:pPr>
              <w:spacing w:before="0" w:after="0"/>
            </w:pPr>
            <w:r>
              <w:rPr>
                <w:rFonts w:ascii="Calibri" w:hAnsi="Calibri"/>
                <w:color w:val="222222"/>
                <w:sz w:val="19"/>
              </w:rPr>
              <w:t>Faculty Mentor, Dept. of CSE Faculty &amp; Student Leads</w:t>
            </w:r>
          </w:p>
        </w:tc>
      </w:tr>
      <w:tr>
        <w:tc>
          <w:tcPr>
            <w:tcW w:type="dxa" w:w="2016"/>
            <w:shd w:fill="FBFBFB"/>
            <w:tcMar>
              <w:top w:w="100" w:type="dxa"/>
              <w:bottom w:w="100" w:type="dxa"/>
              <w:left w:w="150" w:type="dxa"/>
              <w:right w:w="150" w:type="dxa"/>
            </w:tcMar>
            <w:vAlign w:val="center"/>
          </w:tcPr>
          <w:p>
            <w:pPr>
              <w:spacing w:before="0" w:after="0"/>
            </w:pPr>
            <w:r>
              <w:rPr>
                <w:rFonts w:ascii="Calibri" w:hAnsi="Calibri"/>
                <w:color w:val="222222"/>
                <w:sz w:val="19"/>
              </w:rPr>
              <w:t>Phase III: Campus Rollout</w:t>
            </w:r>
          </w:p>
        </w:tc>
        <w:tc>
          <w:tcPr>
            <w:tcW w:type="dxa" w:w="1440"/>
            <w:shd w:fill="FBFBFB"/>
            <w:tcMar>
              <w:top w:w="100" w:type="dxa"/>
              <w:bottom w:w="100" w:type="dxa"/>
              <w:left w:w="150" w:type="dxa"/>
              <w:right w:w="150" w:type="dxa"/>
            </w:tcMar>
            <w:vAlign w:val="center"/>
          </w:tcPr>
          <w:p>
            <w:pPr>
              <w:spacing w:before="0" w:after="0"/>
            </w:pPr>
            <w:r>
              <w:rPr>
                <w:rFonts w:ascii="Calibri" w:hAnsi="Calibri"/>
                <w:color w:val="222222"/>
                <w:sz w:val="19"/>
              </w:rPr>
              <w:t>Weeks 4 – 5</w:t>
            </w:r>
          </w:p>
        </w:tc>
        <w:tc>
          <w:tcPr>
            <w:tcW w:type="dxa" w:w="4032"/>
            <w:shd w:fill="FBFBFB"/>
            <w:tcMar>
              <w:top w:w="100" w:type="dxa"/>
              <w:bottom w:w="100" w:type="dxa"/>
              <w:left w:w="150" w:type="dxa"/>
              <w:right w:w="150" w:type="dxa"/>
            </w:tcMar>
            <w:vAlign w:val="center"/>
          </w:tcPr>
          <w:p>
            <w:pPr>
              <w:spacing w:before="0" w:after="0"/>
            </w:pPr>
            <w:r>
              <w:rPr>
                <w:rFonts w:ascii="Calibri" w:hAnsi="Calibri"/>
                <w:color w:val="222222"/>
                <w:sz w:val="19"/>
              </w:rPr>
              <w:t>Expansion to all university academic faculties (Management, Commerce, Basic Sciences, Humanities).</w:t>
            </w:r>
          </w:p>
        </w:tc>
        <w:tc>
          <w:tcPr>
            <w:tcW w:type="dxa" w:w="2448"/>
            <w:shd w:fill="FBFBFB"/>
            <w:tcMar>
              <w:top w:w="100" w:type="dxa"/>
              <w:bottom w:w="100" w:type="dxa"/>
              <w:left w:w="150" w:type="dxa"/>
              <w:right w:w="150" w:type="dxa"/>
            </w:tcMar>
            <w:vAlign w:val="center"/>
          </w:tcPr>
          <w:p>
            <w:pPr>
              <w:spacing w:before="0" w:after="0"/>
            </w:pPr>
            <w:r>
              <w:rPr>
                <w:rFonts w:ascii="Calibri" w:hAnsi="Calibri"/>
                <w:color w:val="222222"/>
                <w:sz w:val="19"/>
              </w:rPr>
              <w:t>Director (CSE), Deans of Faculties, Institutional Coordinators</w:t>
            </w:r>
          </w:p>
        </w:tc>
      </w:tr>
      <w:tr>
        <w:tc>
          <w:tcPr>
            <w:tcW w:type="dxa" w:w="2016"/>
            <w:shd w:fill="FFFFFF"/>
            <w:tcMar>
              <w:top w:w="100" w:type="dxa"/>
              <w:bottom w:w="100" w:type="dxa"/>
              <w:left w:w="150" w:type="dxa"/>
              <w:right w:w="150" w:type="dxa"/>
            </w:tcMar>
            <w:vAlign w:val="center"/>
          </w:tcPr>
          <w:p>
            <w:pPr>
              <w:spacing w:before="0" w:after="0"/>
            </w:pPr>
            <w:r>
              <w:rPr>
                <w:rFonts w:ascii="Calibri" w:hAnsi="Calibri"/>
                <w:color w:val="222222"/>
                <w:sz w:val="19"/>
              </w:rPr>
              <w:t>Phase IV: Mega-Fest Scale</w:t>
            </w:r>
          </w:p>
        </w:tc>
        <w:tc>
          <w:tcPr>
            <w:tcW w:type="dxa" w:w="1440"/>
            <w:shd w:fill="FFFFFF"/>
            <w:tcMar>
              <w:top w:w="100" w:type="dxa"/>
              <w:bottom w:w="100" w:type="dxa"/>
              <w:left w:w="150" w:type="dxa"/>
              <w:right w:w="150" w:type="dxa"/>
            </w:tcMar>
            <w:vAlign w:val="center"/>
          </w:tcPr>
          <w:p>
            <w:pPr>
              <w:spacing w:before="0" w:after="0"/>
            </w:pPr>
            <w:r>
              <w:rPr>
                <w:rFonts w:ascii="Calibri" w:hAnsi="Calibri"/>
                <w:color w:val="222222"/>
                <w:sz w:val="19"/>
              </w:rPr>
              <w:t>Annual Fests</w:t>
            </w:r>
          </w:p>
        </w:tc>
        <w:tc>
          <w:tcPr>
            <w:tcW w:type="dxa" w:w="4032"/>
            <w:shd w:fill="FFFFFF"/>
            <w:tcMar>
              <w:top w:w="100" w:type="dxa"/>
              <w:bottom w:w="100" w:type="dxa"/>
              <w:left w:w="150" w:type="dxa"/>
              <w:right w:w="150" w:type="dxa"/>
            </w:tcMar>
            <w:vAlign w:val="center"/>
          </w:tcPr>
          <w:p>
            <w:pPr>
              <w:spacing w:before="0" w:after="0"/>
            </w:pPr>
            <w:r>
              <w:rPr>
                <w:rFonts w:ascii="Calibri" w:hAnsi="Calibri"/>
                <w:color w:val="222222"/>
                <w:sz w:val="19"/>
              </w:rPr>
              <w:t>Full concurrent scale operations for university inter-collegiate festivals with high-volume scanning.</w:t>
            </w:r>
          </w:p>
        </w:tc>
        <w:tc>
          <w:tcPr>
            <w:tcW w:type="dxa" w:w="2448"/>
            <w:shd w:fill="FFFFFF"/>
            <w:tcMar>
              <w:top w:w="100" w:type="dxa"/>
              <w:bottom w:w="100" w:type="dxa"/>
              <w:left w:w="150" w:type="dxa"/>
              <w:right w:w="150" w:type="dxa"/>
            </w:tcMar>
            <w:vAlign w:val="center"/>
          </w:tcPr>
          <w:p>
            <w:pPr>
              <w:spacing w:before="0" w:after="0"/>
            </w:pPr>
            <w:r>
              <w:rPr>
                <w:rFonts w:ascii="Calibri" w:hAnsi="Calibri"/>
                <w:color w:val="222222"/>
                <w:sz w:val="19"/>
              </w:rPr>
              <w:t>University Event Committees, Student Councils &amp; Volunteers</w:t>
            </w:r>
          </w:p>
        </w:tc>
      </w:tr>
    </w:tbl>
    <w:p>
      <w:pPr>
        <w:spacing w:before="160" w:after="80"/>
      </w:pPr>
      <w:r>
        <w:rPr>
          <w:b/>
          <w:sz w:val="20"/>
        </w:rPr>
        <w:t>Actionable Administrative Requisitions for Immediate Sanction: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3312"/>
        <w:gridCol w:w="3312"/>
        <w:gridCol w:w="3312"/>
      </w:tblGrid>
      <w:tr>
        <w:tc>
          <w:tcPr>
            <w:tcW w:type="dxa" w:w="2592"/>
            <w:shd w:fill="EAEAEA"/>
            <w:tcMar>
              <w:top w:w="120" w:type="dxa"/>
              <w:bottom w:w="120" w:type="dxa"/>
              <w:left w:w="160" w:type="dxa"/>
              <w:right w:w="160" w:type="dxa"/>
            </w:tcMar>
            <w:vAlign w:val="center"/>
          </w:tcPr>
          <w:p>
            <w:pPr>
              <w:spacing w:before="0" w:after="0"/>
              <w:jc w:val="left"/>
            </w:pPr>
            <w:r>
              <w:rPr>
                <w:rFonts w:ascii="Calibri" w:hAnsi="Calibri"/>
                <w:b/>
                <w:color w:val="111111"/>
                <w:sz w:val="19"/>
              </w:rPr>
              <w:t>REQUISITION ITEM</w:t>
            </w:r>
          </w:p>
        </w:tc>
        <w:tc>
          <w:tcPr>
            <w:tcW w:type="dxa" w:w="4176"/>
            <w:shd w:fill="EAEAEA"/>
            <w:tcMar>
              <w:top w:w="120" w:type="dxa"/>
              <w:bottom w:w="120" w:type="dxa"/>
              <w:left w:w="160" w:type="dxa"/>
              <w:right w:w="160" w:type="dxa"/>
            </w:tcMar>
            <w:vAlign w:val="center"/>
          </w:tcPr>
          <w:p>
            <w:pPr>
              <w:spacing w:before="0" w:after="0"/>
              <w:jc w:val="left"/>
            </w:pPr>
            <w:r>
              <w:rPr>
                <w:rFonts w:ascii="Calibri" w:hAnsi="Calibri"/>
                <w:b/>
                <w:color w:val="111111"/>
                <w:sz w:val="19"/>
              </w:rPr>
              <w:t>SPECIFICATION / REQUIREMENT</w:t>
            </w:r>
          </w:p>
        </w:tc>
        <w:tc>
          <w:tcPr>
            <w:tcW w:type="dxa" w:w="3168"/>
            <w:shd w:fill="EAEAEA"/>
            <w:tcMar>
              <w:top w:w="120" w:type="dxa"/>
              <w:bottom w:w="120" w:type="dxa"/>
              <w:left w:w="160" w:type="dxa"/>
              <w:right w:w="160" w:type="dxa"/>
            </w:tcMar>
            <w:vAlign w:val="center"/>
          </w:tcPr>
          <w:p>
            <w:pPr>
              <w:spacing w:before="0" w:after="0"/>
              <w:jc w:val="left"/>
            </w:pPr>
            <w:r>
              <w:rPr>
                <w:rFonts w:ascii="Calibri" w:hAnsi="Calibri"/>
                <w:b/>
                <w:color w:val="111111"/>
                <w:sz w:val="19"/>
              </w:rPr>
              <w:t>ADMINISTRATIVE ACTION REQUIRED</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1. Dedicated Server Space</w:t>
            </w:r>
          </w:p>
        </w:tc>
        <w:tc>
          <w:tcPr>
            <w:tcW w:type="dxa" w:w="4176"/>
            <w:shd w:fill="FBFBFB"/>
            <w:tcMar>
              <w:top w:w="100" w:type="dxa"/>
              <w:bottom w:w="100" w:type="dxa"/>
              <w:left w:w="150" w:type="dxa"/>
              <w:right w:w="150" w:type="dxa"/>
            </w:tcMar>
            <w:vAlign w:val="center"/>
          </w:tcPr>
          <w:p>
            <w:pPr>
              <w:spacing w:before="0" w:after="0"/>
            </w:pPr>
            <w:r>
              <w:rPr>
                <w:rFonts w:ascii="Calibri" w:hAnsi="Calibri"/>
                <w:color w:val="222222"/>
                <w:sz w:val="19"/>
              </w:rPr>
              <w:t>Allocation of 2 vCPU, 4GB RAM virtual machine or campus intranet server slot.</w:t>
            </w:r>
          </w:p>
        </w:tc>
        <w:tc>
          <w:tcPr>
            <w:tcW w:type="dxa" w:w="3168"/>
            <w:shd w:fill="FBFBFB"/>
            <w:tcMar>
              <w:top w:w="100" w:type="dxa"/>
              <w:bottom w:w="100" w:type="dxa"/>
              <w:left w:w="150" w:type="dxa"/>
              <w:right w:w="150" w:type="dxa"/>
            </w:tcMar>
            <w:vAlign w:val="center"/>
          </w:tcPr>
          <w:p>
            <w:pPr>
              <w:spacing w:before="0" w:after="0"/>
            </w:pPr>
            <w:r>
              <w:rPr>
                <w:rFonts w:ascii="Calibri" w:hAnsi="Calibri"/>
                <w:color w:val="222222"/>
                <w:sz w:val="19"/>
              </w:rPr>
              <w:t>Sanction by IT Administrator / Registrar</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2. Sub-Domain Mapping</w:t>
            </w:r>
          </w:p>
        </w:tc>
        <w:tc>
          <w:tcPr>
            <w:tcW w:type="dxa" w:w="4176"/>
            <w:shd w:fill="FFFFFF"/>
            <w:tcMar>
              <w:top w:w="100" w:type="dxa"/>
              <w:bottom w:w="100" w:type="dxa"/>
              <w:left w:w="150" w:type="dxa"/>
              <w:right w:w="150" w:type="dxa"/>
            </w:tcMar>
            <w:vAlign w:val="center"/>
          </w:tcPr>
          <w:p>
            <w:pPr>
              <w:spacing w:before="0" w:after="0"/>
            </w:pPr>
            <w:r>
              <w:rPr>
                <w:rFonts w:ascii="Calibri" w:hAnsi="Calibri"/>
                <w:color w:val="222222"/>
                <w:sz w:val="19"/>
              </w:rPr>
              <w:t>DNS mapping for events.snpsu.edu.in with SSL certificate binding.</w:t>
            </w:r>
          </w:p>
        </w:tc>
        <w:tc>
          <w:tcPr>
            <w:tcW w:type="dxa" w:w="3168"/>
            <w:shd w:fill="FFFFFF"/>
            <w:tcMar>
              <w:top w:w="100" w:type="dxa"/>
              <w:bottom w:w="100" w:type="dxa"/>
              <w:left w:w="150" w:type="dxa"/>
              <w:right w:w="150" w:type="dxa"/>
            </w:tcMar>
            <w:vAlign w:val="center"/>
          </w:tcPr>
          <w:p>
            <w:pPr>
              <w:spacing w:before="0" w:after="0"/>
            </w:pPr>
            <w:r>
              <w:rPr>
                <w:rFonts w:ascii="Calibri" w:hAnsi="Calibri"/>
                <w:color w:val="222222"/>
                <w:sz w:val="19"/>
              </w:rPr>
              <w:t>IT Network Division authorization</w:t>
            </w:r>
          </w:p>
        </w:tc>
      </w:tr>
      <w:tr>
        <w:tc>
          <w:tcPr>
            <w:tcW w:type="dxa" w:w="2592"/>
            <w:shd w:fill="FBFBFB"/>
            <w:tcMar>
              <w:top w:w="100" w:type="dxa"/>
              <w:bottom w:w="100" w:type="dxa"/>
              <w:left w:w="150" w:type="dxa"/>
              <w:right w:w="150" w:type="dxa"/>
            </w:tcMar>
            <w:vAlign w:val="center"/>
          </w:tcPr>
          <w:p>
            <w:pPr>
              <w:spacing w:before="0" w:after="0"/>
            </w:pPr>
            <w:r>
              <w:rPr>
                <w:rFonts w:ascii="Calibri" w:hAnsi="Calibri"/>
                <w:color w:val="222222"/>
                <w:sz w:val="19"/>
              </w:rPr>
              <w:t>3. Departmental Pilot Approval</w:t>
            </w:r>
          </w:p>
        </w:tc>
        <w:tc>
          <w:tcPr>
            <w:tcW w:type="dxa" w:w="4176"/>
            <w:shd w:fill="FBFBFB"/>
            <w:tcMar>
              <w:top w:w="100" w:type="dxa"/>
              <w:bottom w:w="100" w:type="dxa"/>
              <w:left w:w="150" w:type="dxa"/>
              <w:right w:w="150" w:type="dxa"/>
            </w:tcMar>
            <w:vAlign w:val="center"/>
          </w:tcPr>
          <w:p>
            <w:pPr>
              <w:spacing w:before="0" w:after="0"/>
            </w:pPr>
            <w:r>
              <w:rPr>
                <w:rFonts w:ascii="Calibri" w:hAnsi="Calibri"/>
                <w:color w:val="222222"/>
                <w:sz w:val="19"/>
              </w:rPr>
              <w:t>Clearance to conduct real-world student registrations for upcoming CSE department events.</w:t>
            </w:r>
          </w:p>
        </w:tc>
        <w:tc>
          <w:tcPr>
            <w:tcW w:type="dxa" w:w="3168"/>
            <w:shd w:fill="FBFBFB"/>
            <w:tcMar>
              <w:top w:w="100" w:type="dxa"/>
              <w:bottom w:w="100" w:type="dxa"/>
              <w:left w:w="150" w:type="dxa"/>
              <w:right w:w="150" w:type="dxa"/>
            </w:tcMar>
            <w:vAlign w:val="center"/>
          </w:tcPr>
          <w:p>
            <w:pPr>
              <w:spacing w:before="0" w:after="0"/>
            </w:pPr>
            <w:r>
              <w:rPr>
                <w:rFonts w:ascii="Calibri" w:hAnsi="Calibri"/>
                <w:color w:val="222222"/>
                <w:sz w:val="19"/>
              </w:rPr>
              <w:t>Sanction by Director (CSE) &amp; Faculty Mentor</w:t>
            </w:r>
          </w:p>
        </w:tc>
      </w:tr>
      <w:tr>
        <w:tc>
          <w:tcPr>
            <w:tcW w:type="dxa" w:w="2592"/>
            <w:shd w:fill="FFFFFF"/>
            <w:tcMar>
              <w:top w:w="100" w:type="dxa"/>
              <w:bottom w:w="100" w:type="dxa"/>
              <w:left w:w="150" w:type="dxa"/>
              <w:right w:w="150" w:type="dxa"/>
            </w:tcMar>
            <w:vAlign w:val="center"/>
          </w:tcPr>
          <w:p>
            <w:pPr>
              <w:spacing w:before="0" w:after="0"/>
            </w:pPr>
            <w:r>
              <w:rPr>
                <w:rFonts w:ascii="Calibri" w:hAnsi="Calibri"/>
                <w:color w:val="222222"/>
                <w:sz w:val="19"/>
              </w:rPr>
              <w:t>4. IQAC / NAAC Endorsement</w:t>
            </w:r>
          </w:p>
        </w:tc>
        <w:tc>
          <w:tcPr>
            <w:tcW w:type="dxa" w:w="4176"/>
            <w:shd w:fill="FFFFFF"/>
            <w:tcMar>
              <w:top w:w="100" w:type="dxa"/>
              <w:bottom w:w="100" w:type="dxa"/>
              <w:left w:w="150" w:type="dxa"/>
              <w:right w:w="150" w:type="dxa"/>
            </w:tcMar>
            <w:vAlign w:val="center"/>
          </w:tcPr>
          <w:p>
            <w:pPr>
              <w:spacing w:before="0" w:after="0"/>
            </w:pPr>
            <w:r>
              <w:rPr>
                <w:rFonts w:ascii="Calibri" w:hAnsi="Calibri"/>
                <w:color w:val="222222"/>
                <w:sz w:val="19"/>
              </w:rPr>
              <w:t>Official authorization to standardize accreditation report formats with IQAC cell.</w:t>
            </w:r>
          </w:p>
        </w:tc>
        <w:tc>
          <w:tcPr>
            <w:tcW w:type="dxa" w:w="3168"/>
            <w:shd w:fill="FFFFFF"/>
            <w:tcMar>
              <w:top w:w="100" w:type="dxa"/>
              <w:bottom w:w="100" w:type="dxa"/>
              <w:left w:w="150" w:type="dxa"/>
              <w:right w:w="150" w:type="dxa"/>
            </w:tcMar>
            <w:vAlign w:val="center"/>
          </w:tcPr>
          <w:p>
            <w:pPr>
              <w:spacing w:before="0" w:after="0"/>
            </w:pPr>
            <w:r>
              <w:rPr>
                <w:rFonts w:ascii="Calibri" w:hAnsi="Calibri"/>
                <w:color w:val="222222"/>
                <w:sz w:val="19"/>
              </w:rPr>
              <w:t>Endorsement by Dean (Academic Affairs)</w:t>
            </w:r>
          </w:p>
        </w:tc>
      </w:tr>
    </w:tbl>
    <w:p>
      <w:pPr>
        <w:keepNext/>
        <w:spacing w:before="280" w:after="120"/>
      </w:pPr>
      <w:r>
        <w:rPr>
          <w:rFonts w:ascii="Calibri" w:hAnsi="Calibri"/>
          <w:b/>
          <w:color w:val="111111"/>
          <w:sz w:val="26"/>
        </w:rPr>
        <w:t>8. INSTITUTIONAL DECLARATION &amp; ENDORSEMENT SIGNATURES</w:t>
      </w:r>
    </w:p>
    <w:p>
      <w:pPr>
        <w:spacing w:before="0" w:after="280" w:line="276" w:lineRule="auto"/>
      </w:pPr>
      <w:r>
        <w:rPr>
          <w:rFonts w:ascii="Calibri" w:hAnsi="Calibri"/>
          <w:color w:val="222222"/>
          <w:sz w:val="20"/>
        </w:rPr>
        <w:t>We hereby declare that the SapthaEvent platform has been architected and developed with adherence to academic integrity, strict data privacy standards, and robust software engineering best practices. We affirm that all functional components have passed automated regression testing and that the system is fully operational and production-ready for deployment at Sapthagiri NPS University.</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40" w:type="dxa"/>
              <w:right w:w="40" w:type="dxa"/>
            </w:tcMar>
          </w:tcPr>
          <w:p>
            <w:r>
              <w:rPr>
                <w:b/>
              </w:rPr>
              <w:t>________________________</w:t>
              <w:br/>
            </w:r>
            <w:r>
              <w:rPr>
                <w:b/>
              </w:rPr>
              <w:t>Kiran M. Biradar</w:t>
              <w:br/>
            </w:r>
            <w:r>
              <w:rPr>
                <w:sz w:val="16"/>
              </w:rPr>
              <w:t>Lead Developer &amp; Architect</w:t>
              <w:br/>
              <w:t>USN: 24SUUBECS0937</w:t>
              <w:br/>
              <w:t>Team InnovEdge (CSE)</w:t>
            </w:r>
          </w:p>
        </w:tc>
        <w:tc>
          <w:tcPr>
            <w:tcW w:type="dxa" w:w="2484"/>
            <w:tcMar>
              <w:top w:w="60" w:type="dxa"/>
              <w:bottom w:w="60" w:type="dxa"/>
              <w:left w:w="40" w:type="dxa"/>
              <w:right w:w="40" w:type="dxa"/>
            </w:tcMar>
          </w:tcPr>
          <w:p>
            <w:r>
              <w:rPr>
                <w:b/>
              </w:rPr>
              <w:t>________________________</w:t>
              <w:br/>
            </w:r>
            <w:r>
              <w:rPr>
                <w:b/>
              </w:rPr>
              <w:t>Karthik P.</w:t>
              <w:br/>
            </w:r>
            <w:r>
              <w:rPr>
                <w:sz w:val="16"/>
              </w:rPr>
              <w:t>Co-Lead &amp; Tech Coordinator</w:t>
              <w:br/>
              <w:t>USN: 24SUUBECS0890</w:t>
              <w:br/>
              <w:t>Team InnovEdge (CSE)</w:t>
            </w:r>
          </w:p>
        </w:tc>
        <w:tc>
          <w:tcPr>
            <w:tcW w:type="dxa" w:w="2484"/>
            <w:tcMar>
              <w:top w:w="60" w:type="dxa"/>
              <w:bottom w:w="60" w:type="dxa"/>
              <w:left w:w="40" w:type="dxa"/>
              <w:right w:w="40" w:type="dxa"/>
            </w:tcMar>
          </w:tcPr>
          <w:p>
            <w:r>
              <w:rPr>
                <w:b/>
              </w:rPr>
              <w:t>________________________</w:t>
              <w:br/>
            </w:r>
            <w:r>
              <w:rPr>
                <w:b/>
              </w:rPr>
              <w:t>Director</w:t>
              <w:br/>
            </w:r>
            <w:r>
              <w:rPr>
                <w:sz w:val="16"/>
              </w:rPr>
              <w:t>Dept. of Computer Science &amp; Engg.</w:t>
              <w:br/>
              <w:t>Sapthagiri NPS University</w:t>
            </w:r>
          </w:p>
        </w:tc>
        <w:tc>
          <w:tcPr>
            <w:tcW w:type="dxa" w:w="2484"/>
            <w:tcMar>
              <w:top w:w="60" w:type="dxa"/>
              <w:bottom w:w="60" w:type="dxa"/>
              <w:left w:w="40" w:type="dxa"/>
              <w:right w:w="40" w:type="dxa"/>
            </w:tcMar>
          </w:tcPr>
          <w:p>
            <w:r>
              <w:rPr>
                <w:b/>
              </w:rPr>
              <w:t>________________________</w:t>
              <w:br/>
            </w:r>
            <w:r>
              <w:rPr>
                <w:b/>
              </w:rPr>
              <w:t>Dean / Registrar</w:t>
              <w:br/>
            </w:r>
            <w:r>
              <w:rPr>
                <w:sz w:val="16"/>
              </w:rPr>
              <w:t>University Administration</w:t>
              <w:br/>
              <w:t>Sapthagiri NPS University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