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48"/>
          <w:szCs w:val="48"/>
        </w:rPr>
        <w:t xml:space="preserve">NARENDRA KALAVAKURI</w:t>
      </w:r>
    </w:p>
    <w:p>
      <w:pPr>
        <w:pBdr>
          <w:bottom w:val="single" w:color="2E75B6" w:sz="6" w:space="5"/>
        </w:pBdr>
        <w:spacing w:after="50" w:before="0"/>
        <w:jc w:val="center"/>
      </w:pPr>
      <w:r>
        <w:rPr>
          <w:rFonts w:ascii="Calibri" w:cs="Calibri" w:eastAsia="Calibri" w:hAnsi="Calibri"/>
          <w:color w:val="2E75B6"/>
          <w:sz w:val="20"/>
          <w:szCs w:val="20"/>
        </w:rPr>
        <w:t xml:space="preserve">Senior Java/Backend Engineer  |  Microservices  |  Cloud (AWS &amp; GCP)  |  8+ Years</w:t>
      </w:r>
    </w:p>
    <w:p>
      <w:pPr>
        <w:spacing w:after="50" w:before="50"/>
        <w:jc w:val="center"/>
      </w:pPr>
      <w:r>
        <w:rPr>
          <w:rFonts w:ascii="Calibri" w:cs="Calibri" w:eastAsia="Calibri" w:hAnsi="Calibri"/>
          <w:color w:val="595959"/>
          <w:sz w:val="18"/>
          <w:szCs w:val="18"/>
        </w:rPr>
        <w:t xml:space="preserve">kalavakurinarendra2@gmail.com</w:t>
      </w:r>
      <w:r>
        <w:rPr>
          <w:rFonts w:ascii="Calibri" w:cs="Calibri" w:eastAsia="Calibri" w:hAnsi="Calibri"/>
          <w:color w:val="595959"/>
          <w:sz w:val="18"/>
          <w:szCs w:val="18"/>
        </w:rPr>
        <w:t xml:space="preserve">   |   +91-7799212839</w:t>
      </w:r>
      <w:r>
        <w:rPr>
          <w:rFonts w:ascii="Calibri" w:cs="Calibri" w:eastAsia="Calibri" w:hAnsi="Calibri"/>
          <w:color w:val="595959"/>
          <w:sz w:val="18"/>
          <w:szCs w:val="18"/>
        </w:rPr>
        <w:t xml:space="preserve">   |   India</w:t>
      </w:r>
    </w:p>
    <w:p>
      <w:pPr>
        <w:pBdr>
          <w:bottom w:val="single" w:color="2E75B6" w:sz="6" w:space="3"/>
        </w:pBdr>
        <w:spacing w:after="60" w:before="180"/>
      </w:pPr>
      <w:r>
        <w:rPr>
          <w:rFonts w:ascii="Calibri" w:cs="Calibri" w:eastAsia="Calibri" w:hAnsi="Calibri"/>
          <w:b/>
          <w:bCs/>
          <w:color w:val="1F4E79"/>
          <w:sz w:val="22"/>
          <w:szCs w:val="22"/>
        </w:rPr>
        <w:t xml:space="preserve">PROFESSIONAL SUMMARY</w:t>
      </w:r>
    </w:p>
    <w:p>
      <w:pPr>
        <w:spacing w:after="40" w:before="40"/>
      </w:pPr>
      <w:r>
        <w:rPr>
          <w:rFonts w:ascii="Calibri" w:cs="Calibri" w:eastAsia="Calibri" w:hAnsi="Calibri"/>
          <w:sz w:val="19"/>
          <w:szCs w:val="19"/>
        </w:rPr>
        <w:t xml:space="preserve">Results-driven Senior Java Engineer with 8+ years of hands-on experience building cloud-native microservices across banking, aviation, warehousing, and telecom domains. Expert in Spring Boot, Apache Kafka, AWS, and GCP. Proven track record of leading cloud migrations, securing enterprise applications with CyberArk, and driving quality via TDD. Currently leading architecture and delivery as Lead Engineer at Future Focus Infotech.</w:t>
      </w:r>
    </w:p>
    <w:p>
      <w:pPr>
        <w:pBdr>
          <w:bottom w:val="single" w:color="2E75B6" w:sz="6" w:space="3"/>
        </w:pBdr>
        <w:spacing w:after="60" w:before="180"/>
      </w:pPr>
      <w:r>
        <w:rPr>
          <w:rFonts w:ascii="Calibri" w:cs="Calibri" w:eastAsia="Calibri" w:hAnsi="Calibri"/>
          <w:b/>
          <w:bCs/>
          <w:color w:val="1F4E79"/>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EBF3FB" w:val="clear"/>
            <w:tcMar>
              <w:top w:type="dxa" w:w="60"/>
              <w:left w:type="dxa" w:w="100"/>
              <w:bottom w:type="dxa" w:w="60"/>
              <w:right w:type="dxa" w:w="80"/>
            </w:tcMar>
          </w:tcPr>
          <w:p>
            <w:r>
              <w:rPr>
                <w:rFonts w:ascii="Calibri" w:cs="Calibri" w:eastAsia="Calibri" w:hAnsi="Calibri"/>
                <w:b/>
                <w:bCs/>
                <w:color w:val="1F4E79"/>
                <w:sz w:val="18"/>
                <w:szCs w:val="18"/>
              </w:rPr>
              <w:t xml:space="preserve">Languages</w:t>
            </w:r>
          </w:p>
        </w:tc>
        <w:tc>
          <w:tcPr>
            <w:tcW w:type="dxa" w:w="7360"/>
            <w:tcBorders>
              <w:top w:val="none"/>
              <w:left w:val="single" w:color="2E75B6" w:sz="4"/>
              <w:bottom w:val="none"/>
              <w:right w:val="none"/>
            </w:tcBorders>
            <w:tcMar>
              <w:top w:type="dxa" w:w="60"/>
              <w:left w:type="dxa" w:w="100"/>
              <w:bottom w:type="dxa" w:w="60"/>
              <w:right w:type="dxa" w:w="80"/>
            </w:tcMar>
          </w:tcPr>
          <w:p>
            <w:r>
              <w:rPr>
                <w:rFonts w:ascii="Calibri" w:cs="Calibri" w:eastAsia="Calibri" w:hAnsi="Calibri"/>
                <w:sz w:val="18"/>
                <w:szCs w:val="18"/>
              </w:rPr>
              <w:t xml:space="preserve">Java, J2EE, SQL, Shell Scripting, JavaScript, XML</w:t>
            </w:r>
          </w:p>
        </w:tc>
      </w:tr>
      <w:tr>
        <w:tc>
          <w:tcPr>
            <w:tcW w:type="dxa" w:w="2000"/>
            <w:tcBorders>
              <w:top w:val="none"/>
              <w:left w:val="none"/>
              <w:bottom w:val="none"/>
              <w:right w:val="none"/>
            </w:tcBorders>
            <w:shd w:fill="EBF3FB" w:val="clear"/>
            <w:tcMar>
              <w:top w:type="dxa" w:w="60"/>
              <w:left w:type="dxa" w:w="100"/>
              <w:bottom w:type="dxa" w:w="60"/>
              <w:right w:type="dxa" w:w="80"/>
            </w:tcMar>
          </w:tcPr>
          <w:p>
            <w:r>
              <w:rPr>
                <w:rFonts w:ascii="Calibri" w:cs="Calibri" w:eastAsia="Calibri" w:hAnsi="Calibri"/>
                <w:b/>
                <w:bCs/>
                <w:color w:val="1F4E79"/>
                <w:sz w:val="18"/>
                <w:szCs w:val="18"/>
              </w:rPr>
              <w:t xml:space="preserve">Frameworks</w:t>
            </w:r>
          </w:p>
        </w:tc>
        <w:tc>
          <w:tcPr>
            <w:tcW w:type="dxa" w:w="7360"/>
            <w:tcBorders>
              <w:top w:val="none"/>
              <w:left w:val="single" w:color="2E75B6" w:sz="4"/>
              <w:bottom w:val="none"/>
              <w:right w:val="none"/>
            </w:tcBorders>
            <w:tcMar>
              <w:top w:type="dxa" w:w="60"/>
              <w:left w:type="dxa" w:w="100"/>
              <w:bottom w:type="dxa" w:w="60"/>
              <w:right w:type="dxa" w:w="80"/>
            </w:tcMar>
          </w:tcPr>
          <w:p>
            <w:r>
              <w:rPr>
                <w:rFonts w:ascii="Calibri" w:cs="Calibri" w:eastAsia="Calibri" w:hAnsi="Calibri"/>
                <w:sz w:val="18"/>
                <w:szCs w:val="18"/>
              </w:rPr>
              <w:t xml:space="preserve">Spring Boot, Spring Cloud, Spring MVC, Hibernate, JPA</w:t>
            </w:r>
          </w:p>
        </w:tc>
      </w:tr>
      <w:tr>
        <w:tc>
          <w:tcPr>
            <w:tcW w:type="dxa" w:w="2000"/>
            <w:tcBorders>
              <w:top w:val="none"/>
              <w:left w:val="none"/>
              <w:bottom w:val="none"/>
              <w:right w:val="none"/>
            </w:tcBorders>
            <w:shd w:fill="EBF3FB" w:val="clear"/>
            <w:tcMar>
              <w:top w:type="dxa" w:w="60"/>
              <w:left w:type="dxa" w:w="100"/>
              <w:bottom w:type="dxa" w:w="60"/>
              <w:right w:type="dxa" w:w="80"/>
            </w:tcMar>
          </w:tcPr>
          <w:p>
            <w:r>
              <w:rPr>
                <w:rFonts w:ascii="Calibri" w:cs="Calibri" w:eastAsia="Calibri" w:hAnsi="Calibri"/>
                <w:b/>
                <w:bCs/>
                <w:color w:val="1F4E79"/>
                <w:sz w:val="18"/>
                <w:szCs w:val="18"/>
              </w:rPr>
              <w:t xml:space="preserve">Cloud &amp; Messaging</w:t>
            </w:r>
          </w:p>
        </w:tc>
        <w:tc>
          <w:tcPr>
            <w:tcW w:type="dxa" w:w="7360"/>
            <w:tcBorders>
              <w:top w:val="none"/>
              <w:left w:val="single" w:color="2E75B6" w:sz="4"/>
              <w:bottom w:val="none"/>
              <w:right w:val="none"/>
            </w:tcBorders>
            <w:tcMar>
              <w:top w:type="dxa" w:w="60"/>
              <w:left w:type="dxa" w:w="100"/>
              <w:bottom w:type="dxa" w:w="60"/>
              <w:right w:type="dxa" w:w="80"/>
            </w:tcMar>
          </w:tcPr>
          <w:p>
            <w:r>
              <w:rPr>
                <w:rFonts w:ascii="Calibri" w:cs="Calibri" w:eastAsia="Calibri" w:hAnsi="Calibri"/>
                <w:sz w:val="18"/>
                <w:szCs w:val="18"/>
              </w:rPr>
              <w:t xml:space="preserve">AWS (Lambda, DynamoDB, Secrets Manager), GCP, Azure, Apache Kafka, RabbitMQ</w:t>
            </w:r>
          </w:p>
        </w:tc>
      </w:tr>
      <w:tr>
        <w:tc>
          <w:tcPr>
            <w:tcW w:type="dxa" w:w="2000"/>
            <w:tcBorders>
              <w:top w:val="none"/>
              <w:left w:val="none"/>
              <w:bottom w:val="none"/>
              <w:right w:val="none"/>
            </w:tcBorders>
            <w:shd w:fill="EBF3FB" w:val="clear"/>
            <w:tcMar>
              <w:top w:type="dxa" w:w="60"/>
              <w:left w:type="dxa" w:w="100"/>
              <w:bottom w:type="dxa" w:w="60"/>
              <w:right w:type="dxa" w:w="80"/>
            </w:tcMar>
          </w:tcPr>
          <w:p>
            <w:r>
              <w:rPr>
                <w:rFonts w:ascii="Calibri" w:cs="Calibri" w:eastAsia="Calibri" w:hAnsi="Calibri"/>
                <w:b/>
                <w:bCs/>
                <w:color w:val="1F4E79"/>
                <w:sz w:val="18"/>
                <w:szCs w:val="18"/>
              </w:rPr>
              <w:t xml:space="preserve">Databases</w:t>
            </w:r>
          </w:p>
        </w:tc>
        <w:tc>
          <w:tcPr>
            <w:tcW w:type="dxa" w:w="7360"/>
            <w:tcBorders>
              <w:top w:val="none"/>
              <w:left w:val="single" w:color="2E75B6" w:sz="4"/>
              <w:bottom w:val="none"/>
              <w:right w:val="none"/>
            </w:tcBorders>
            <w:tcMar>
              <w:top w:type="dxa" w:w="60"/>
              <w:left w:type="dxa" w:w="100"/>
              <w:bottom w:type="dxa" w:w="60"/>
              <w:right w:type="dxa" w:w="80"/>
            </w:tcMar>
          </w:tcPr>
          <w:p>
            <w:r>
              <w:rPr>
                <w:rFonts w:ascii="Calibri" w:cs="Calibri" w:eastAsia="Calibri" w:hAnsi="Calibri"/>
                <w:sz w:val="18"/>
                <w:szCs w:val="18"/>
              </w:rPr>
              <w:t xml:space="preserve">Oracle, MySQL, PostgreSQL, SQL Server, DynamoDB</w:t>
            </w:r>
          </w:p>
        </w:tc>
      </w:tr>
      <w:tr>
        <w:tc>
          <w:tcPr>
            <w:tcW w:type="dxa" w:w="2000"/>
            <w:tcBorders>
              <w:top w:val="none"/>
              <w:left w:val="none"/>
              <w:bottom w:val="none"/>
              <w:right w:val="none"/>
            </w:tcBorders>
            <w:shd w:fill="EBF3FB" w:val="clear"/>
            <w:tcMar>
              <w:top w:type="dxa" w:w="60"/>
              <w:left w:type="dxa" w:w="100"/>
              <w:bottom w:type="dxa" w:w="60"/>
              <w:right w:type="dxa" w:w="80"/>
            </w:tcMar>
          </w:tcPr>
          <w:p>
            <w:r>
              <w:rPr>
                <w:rFonts w:ascii="Calibri" w:cs="Calibri" w:eastAsia="Calibri" w:hAnsi="Calibri"/>
                <w:b/>
                <w:bCs/>
                <w:color w:val="1F4E79"/>
                <w:sz w:val="18"/>
                <w:szCs w:val="18"/>
              </w:rPr>
              <w:t xml:space="preserve">DevOps / Testing</w:t>
            </w:r>
          </w:p>
        </w:tc>
        <w:tc>
          <w:tcPr>
            <w:tcW w:type="dxa" w:w="7360"/>
            <w:tcBorders>
              <w:top w:val="none"/>
              <w:left w:val="single" w:color="2E75B6" w:sz="4"/>
              <w:bottom w:val="none"/>
              <w:right w:val="none"/>
            </w:tcBorders>
            <w:tcMar>
              <w:top w:type="dxa" w:w="60"/>
              <w:left w:type="dxa" w:w="100"/>
              <w:bottom w:type="dxa" w:w="60"/>
              <w:right w:type="dxa" w:w="80"/>
            </w:tcMar>
          </w:tcPr>
          <w:p>
            <w:r>
              <w:rPr>
                <w:rFonts w:ascii="Calibri" w:cs="Calibri" w:eastAsia="Calibri" w:hAnsi="Calibri"/>
                <w:sz w:val="18"/>
                <w:szCs w:val="18"/>
              </w:rPr>
              <w:t xml:space="preserve">Jenkins, GitLab CI, Maven, Git, JUnit, Mockito, Cucumber, SonarQube, Postman</w:t>
            </w:r>
          </w:p>
        </w:tc>
      </w:tr>
      <w:tr>
        <w:tc>
          <w:tcPr>
            <w:tcW w:type="dxa" w:w="2000"/>
            <w:tcBorders>
              <w:top w:val="none"/>
              <w:left w:val="none"/>
              <w:bottom w:val="none"/>
              <w:right w:val="none"/>
            </w:tcBorders>
            <w:shd w:fill="EBF3FB" w:val="clear"/>
            <w:tcMar>
              <w:top w:type="dxa" w:w="60"/>
              <w:left w:type="dxa" w:w="100"/>
              <w:bottom w:type="dxa" w:w="60"/>
              <w:right w:type="dxa" w:w="80"/>
            </w:tcMar>
          </w:tcPr>
          <w:p>
            <w:r>
              <w:rPr>
                <w:rFonts w:ascii="Calibri" w:cs="Calibri" w:eastAsia="Calibri" w:hAnsi="Calibri"/>
                <w:b/>
                <w:bCs/>
                <w:color w:val="1F4E79"/>
                <w:sz w:val="18"/>
                <w:szCs w:val="18"/>
              </w:rPr>
              <w:t xml:space="preserve">Security &amp; APIs</w:t>
            </w:r>
          </w:p>
        </w:tc>
        <w:tc>
          <w:tcPr>
            <w:tcW w:type="dxa" w:w="7360"/>
            <w:tcBorders>
              <w:top w:val="none"/>
              <w:left w:val="single" w:color="2E75B6" w:sz="4"/>
              <w:bottom w:val="none"/>
              <w:right w:val="none"/>
            </w:tcBorders>
            <w:tcMar>
              <w:top w:type="dxa" w:w="60"/>
              <w:left w:type="dxa" w:w="100"/>
              <w:bottom w:type="dxa" w:w="60"/>
              <w:right w:type="dxa" w:w="80"/>
            </w:tcMar>
          </w:tcPr>
          <w:p>
            <w:r>
              <w:rPr>
                <w:rFonts w:ascii="Calibri" w:cs="Calibri" w:eastAsia="Calibri" w:hAnsi="Calibri"/>
                <w:sz w:val="18"/>
                <w:szCs w:val="18"/>
              </w:rPr>
              <w:t xml:space="preserve">CyberArk, Fortify SAST, OWASP, RESTful APIs, Swagger, Eureka, Camunda Workflow</w:t>
            </w:r>
          </w:p>
        </w:tc>
      </w:tr>
    </w:tbl>
    <w:p>
      <w:pPr>
        <w:pBdr>
          <w:bottom w:val="single" w:color="2E75B6" w:sz="6" w:space="3"/>
        </w:pBdr>
        <w:spacing w:after="60" w:before="180"/>
      </w:pPr>
      <w:r>
        <w:rPr>
          <w:rFonts w:ascii="Calibri" w:cs="Calibri" w:eastAsia="Calibri" w:hAnsi="Calibri"/>
          <w:b/>
          <w:bCs/>
          <w:color w:val="1F4E79"/>
          <w:sz w:val="22"/>
          <w:szCs w:val="22"/>
        </w:rPr>
        <w:t xml:space="preserve">PROFESSIONAL EXPERIENCE</w:t>
      </w:r>
    </w:p>
    <w:p>
      <w:pPr>
        <w:spacing w:after="20" w:before="120"/>
      </w:pPr>
      <w:r>
        <w:rPr>
          <w:rFonts w:ascii="Calibri" w:cs="Calibri" w:eastAsia="Calibri" w:hAnsi="Calibri"/>
          <w:b/>
          <w:bCs/>
          <w:color w:val="1F4E79"/>
          <w:sz w:val="20"/>
          <w:szCs w:val="20"/>
        </w:rPr>
        <w:t xml:space="preserve">Lead Engineer</w:t>
      </w:r>
      <w:r>
        <w:rPr>
          <w:rFonts w:ascii="Calibri" w:cs="Calibri" w:eastAsia="Calibri" w:hAnsi="Calibri"/>
          <w:color w:val="595959"/>
          <w:sz w:val="19"/>
          <w:szCs w:val="19"/>
        </w:rPr>
        <w:t xml:space="preserve">  |  </w:t>
      </w:r>
      <w:r>
        <w:rPr>
          <w:rFonts w:ascii="Calibri" w:cs="Calibri" w:eastAsia="Calibri" w:hAnsi="Calibri"/>
          <w:b/>
          <w:bCs/>
          <w:color w:val="2E75B6"/>
          <w:sz w:val="19"/>
          <w:szCs w:val="19"/>
        </w:rPr>
        <w:t xml:space="preserve">Future Focus Infotech Pvt Ltd</w:t>
      </w:r>
      <w:r>
        <w:rPr>
          <w:rFonts w:ascii="Calibri" w:cs="Calibri" w:eastAsia="Calibri" w:hAnsi="Calibri"/>
          <w:i/>
          <w:iCs/>
          <w:color w:val="595959"/>
          <w:sz w:val="18"/>
          <w:szCs w:val="18"/>
        </w:rPr>
        <w:t xml:space="preserve">  •  May 2025 – Present</w:t>
      </w:r>
    </w:p>
    <w:p>
      <w:pPr>
        <w:spacing w:after="20" w:before="20"/>
      </w:pPr>
      <w:r>
        <w:rPr>
          <w:rFonts w:ascii="Calibri" w:cs="Calibri" w:eastAsia="Calibri" w:hAnsi="Calibri"/>
          <w:i/>
          <w:iCs/>
          <w:color w:val="595959"/>
          <w:sz w:val="18"/>
          <w:szCs w:val="18"/>
        </w:rPr>
        <w:t xml:space="preserve">CredX — Banking Business Process Workflow Manager  |  Spring Boot, Microservices, Azure, Oracle DB</w:t>
      </w:r>
    </w:p>
    <w:p>
      <w:pPr>
        <w:pStyle w:val="ListParagraph"/>
        <w:numPr>
          <w:ilvl w:val="0"/>
          <w:numId w:val="2"/>
        </w:numPr>
        <w:spacing w:after="30" w:before="30"/>
      </w:pPr>
      <w:r>
        <w:rPr>
          <w:rFonts w:ascii="Calibri" w:cs="Calibri" w:eastAsia="Calibri" w:hAnsi="Calibri"/>
          <w:sz w:val="19"/>
          <w:szCs w:val="19"/>
        </w:rPr>
        <w:t xml:space="preserve">Architected new microservices for banking workflows — pre-deal assessments, risk management, and reporting using Spring Boot.</w:t>
      </w:r>
    </w:p>
    <w:p>
      <w:pPr>
        <w:pStyle w:val="ListParagraph"/>
        <w:numPr>
          <w:ilvl w:val="0"/>
          <w:numId w:val="2"/>
        </w:numPr>
        <w:spacing w:after="30" w:before="30"/>
      </w:pPr>
      <w:r>
        <w:rPr>
          <w:rFonts w:ascii="Calibri" w:cs="Calibri" w:eastAsia="Calibri" w:hAnsi="Calibri"/>
          <w:sz w:val="19"/>
          <w:szCs w:val="19"/>
        </w:rPr>
        <w:t xml:space="preserve">Implemented multithreading and async processing for high-volume transaction handling; enforced 90%+ code coverage via SonarQube, JUnit, and Mockito.</w:t>
      </w:r>
    </w:p>
    <w:p>
      <w:pPr>
        <w:pStyle w:val="ListParagraph"/>
        <w:numPr>
          <w:ilvl w:val="0"/>
          <w:numId w:val="2"/>
        </w:numPr>
        <w:spacing w:after="30" w:before="30"/>
      </w:pPr>
      <w:r>
        <w:rPr>
          <w:rFonts w:ascii="Calibri" w:cs="Calibri" w:eastAsia="Calibri" w:hAnsi="Calibri"/>
          <w:sz w:val="19"/>
          <w:szCs w:val="19"/>
        </w:rPr>
        <w:t xml:space="preserve">Led stakeholder requirement sessions, backlog grooming, and system design calls; drove root cause analysis for production issues with minimal downtime.</w:t>
      </w:r>
    </w:p>
    <w:p>
      <w:pPr>
        <w:spacing w:after="20" w:before="120"/>
      </w:pPr>
      <w:r>
        <w:rPr>
          <w:rFonts w:ascii="Calibri" w:cs="Calibri" w:eastAsia="Calibri" w:hAnsi="Calibri"/>
          <w:b/>
          <w:bCs/>
          <w:color w:val="1F4E79"/>
          <w:sz w:val="20"/>
          <w:szCs w:val="20"/>
        </w:rPr>
        <w:t xml:space="preserve">Senior Software Engineer</w:t>
      </w:r>
      <w:r>
        <w:rPr>
          <w:rFonts w:ascii="Calibri" w:cs="Calibri" w:eastAsia="Calibri" w:hAnsi="Calibri"/>
          <w:color w:val="595959"/>
          <w:sz w:val="19"/>
          <w:szCs w:val="19"/>
        </w:rPr>
        <w:t xml:space="preserve">  |  </w:t>
      </w:r>
      <w:r>
        <w:rPr>
          <w:rFonts w:ascii="Calibri" w:cs="Calibri" w:eastAsia="Calibri" w:hAnsi="Calibri"/>
          <w:b/>
          <w:bCs/>
          <w:color w:val="2E75B6"/>
          <w:sz w:val="19"/>
          <w:szCs w:val="19"/>
        </w:rPr>
        <w:t xml:space="preserve">Teknix 360 Consultancy Services</w:t>
      </w:r>
      <w:r>
        <w:rPr>
          <w:rFonts w:ascii="Calibri" w:cs="Calibri" w:eastAsia="Calibri" w:hAnsi="Calibri"/>
          <w:i/>
          <w:iCs/>
          <w:color w:val="595959"/>
          <w:sz w:val="18"/>
          <w:szCs w:val="18"/>
        </w:rPr>
        <w:t xml:space="preserve">  •  Oct 2023 – Oct 2024</w:t>
      </w:r>
    </w:p>
    <w:p>
      <w:pPr>
        <w:spacing w:after="20" w:before="20"/>
      </w:pPr>
      <w:r>
        <w:rPr>
          <w:rFonts w:ascii="Calibri" w:cs="Calibri" w:eastAsia="Calibri" w:hAnsi="Calibri"/>
          <w:i/>
          <w:iCs/>
          <w:color w:val="595959"/>
          <w:sz w:val="18"/>
          <w:szCs w:val="18"/>
        </w:rPr>
        <w:t xml:space="preserve">Notification Service Migration — Multi-Bank Platform  |  Spring Boot, AWS Lambda, DynamoDB, Azure, CyberArk</w:t>
      </w:r>
    </w:p>
    <w:p>
      <w:pPr>
        <w:pStyle w:val="ListParagraph"/>
        <w:numPr>
          <w:ilvl w:val="0"/>
          <w:numId w:val="2"/>
        </w:numPr>
        <w:spacing w:after="30" w:before="30"/>
      </w:pPr>
      <w:r>
        <w:rPr>
          <w:rFonts w:ascii="Calibri" w:cs="Calibri" w:eastAsia="Calibri" w:hAnsi="Calibri"/>
          <w:sz w:val="19"/>
          <w:szCs w:val="19"/>
        </w:rPr>
        <w:t xml:space="preserve">Led on-prem to Azure cloud migration of enterprise notification service (SMS, email, push) with zero data loss; migrated relational DB to DynamoDB.</w:t>
      </w:r>
    </w:p>
    <w:p>
      <w:pPr>
        <w:pStyle w:val="ListParagraph"/>
        <w:numPr>
          <w:ilvl w:val="0"/>
          <w:numId w:val="2"/>
        </w:numPr>
        <w:spacing w:after="30" w:before="30"/>
      </w:pPr>
      <w:r>
        <w:rPr>
          <w:rFonts w:ascii="Calibri" w:cs="Calibri" w:eastAsia="Calibri" w:hAnsi="Calibri"/>
          <w:sz w:val="19"/>
          <w:szCs w:val="19"/>
        </w:rPr>
        <w:t xml:space="preserve">Integrated CyberArk on Azure for secrets management; implemented serverless AWS Lambda functions and Zool Proxy Gateway for distributed tracing.</w:t>
      </w:r>
    </w:p>
    <w:p>
      <w:pPr>
        <w:spacing w:after="20" w:before="120"/>
      </w:pPr>
      <w:r>
        <w:rPr>
          <w:rFonts w:ascii="Calibri" w:cs="Calibri" w:eastAsia="Calibri" w:hAnsi="Calibri"/>
          <w:b/>
          <w:bCs/>
          <w:color w:val="1F4E79"/>
          <w:sz w:val="20"/>
          <w:szCs w:val="20"/>
        </w:rPr>
        <w:t xml:space="preserve">Software Engineer II</w:t>
      </w:r>
      <w:r>
        <w:rPr>
          <w:rFonts w:ascii="Calibri" w:cs="Calibri" w:eastAsia="Calibri" w:hAnsi="Calibri"/>
          <w:color w:val="595959"/>
          <w:sz w:val="19"/>
          <w:szCs w:val="19"/>
        </w:rPr>
        <w:t xml:space="preserve">  |  </w:t>
      </w:r>
      <w:r>
        <w:rPr>
          <w:rFonts w:ascii="Calibri" w:cs="Calibri" w:eastAsia="Calibri" w:hAnsi="Calibri"/>
          <w:b/>
          <w:bCs/>
          <w:color w:val="2E75B6"/>
          <w:sz w:val="19"/>
          <w:szCs w:val="19"/>
        </w:rPr>
        <w:t xml:space="preserve">Honeywell</w:t>
      </w:r>
      <w:r>
        <w:rPr>
          <w:rFonts w:ascii="Calibri" w:cs="Calibri" w:eastAsia="Calibri" w:hAnsi="Calibri"/>
          <w:i/>
          <w:iCs/>
          <w:color w:val="595959"/>
          <w:sz w:val="18"/>
          <w:szCs w:val="18"/>
        </w:rPr>
        <w:t xml:space="preserve">  •  Aug 2022 – Oct 2023</w:t>
      </w:r>
    </w:p>
    <w:p>
      <w:pPr>
        <w:spacing w:after="20" w:before="20"/>
      </w:pPr>
      <w:r>
        <w:rPr>
          <w:rFonts w:ascii="Calibri" w:cs="Calibri" w:eastAsia="Calibri" w:hAnsi="Calibri"/>
          <w:i/>
          <w:iCs/>
          <w:color w:val="595959"/>
          <w:sz w:val="18"/>
          <w:szCs w:val="18"/>
        </w:rPr>
        <w:t xml:space="preserve">WES — Warehouse Execution System (Nike, Flipkart)  |  Spring Boot, Apache Kafka, PostgreSQL, RabbitMQ, Jenkins</w:t>
      </w:r>
    </w:p>
    <w:p>
      <w:pPr>
        <w:pStyle w:val="ListParagraph"/>
        <w:numPr>
          <w:ilvl w:val="0"/>
          <w:numId w:val="2"/>
        </w:numPr>
        <w:spacing w:after="30" w:before="30"/>
      </w:pPr>
      <w:r>
        <w:rPr>
          <w:rFonts w:ascii="Calibri" w:cs="Calibri" w:eastAsia="Calibri" w:hAnsi="Calibri"/>
          <w:sz w:val="19"/>
          <w:szCs w:val="19"/>
        </w:rPr>
        <w:t xml:space="preserve">Built in-house real-time data streaming framework using Kafka &amp; Kafka Streams to power Grafana dashboards with live KPIs, alarms, and ML model feeds.</w:t>
      </w:r>
    </w:p>
    <w:p>
      <w:pPr>
        <w:pStyle w:val="ListParagraph"/>
        <w:numPr>
          <w:ilvl w:val="0"/>
          <w:numId w:val="2"/>
        </w:numPr>
        <w:spacing w:after="30" w:before="30"/>
      </w:pPr>
      <w:r>
        <w:rPr>
          <w:rFonts w:ascii="Calibri" w:cs="Calibri" w:eastAsia="Calibri" w:hAnsi="Calibri"/>
          <w:sz w:val="19"/>
          <w:szCs w:val="19"/>
        </w:rPr>
        <w:t xml:space="preserve">Developed microservices for automated crane/storage warehouse solutions; customized platform for clients Nike and Flipkart using TDD with JUnit and Cucumber BDD.</w:t>
      </w:r>
    </w:p>
    <w:p>
      <w:pPr>
        <w:spacing w:after="20" w:before="120"/>
      </w:pPr>
      <w:r>
        <w:rPr>
          <w:rFonts w:ascii="Calibri" w:cs="Calibri" w:eastAsia="Calibri" w:hAnsi="Calibri"/>
          <w:b/>
          <w:bCs/>
          <w:color w:val="1F4E79"/>
          <w:sz w:val="20"/>
          <w:szCs w:val="20"/>
        </w:rPr>
        <w:t xml:space="preserve">Senior System Engineer</w:t>
      </w:r>
      <w:r>
        <w:rPr>
          <w:rFonts w:ascii="Calibri" w:cs="Calibri" w:eastAsia="Calibri" w:hAnsi="Calibri"/>
          <w:color w:val="595959"/>
          <w:sz w:val="19"/>
          <w:szCs w:val="19"/>
        </w:rPr>
        <w:t xml:space="preserve">  |  </w:t>
      </w:r>
      <w:r>
        <w:rPr>
          <w:rFonts w:ascii="Calibri" w:cs="Calibri" w:eastAsia="Calibri" w:hAnsi="Calibri"/>
          <w:b/>
          <w:bCs/>
          <w:color w:val="2E75B6"/>
          <w:sz w:val="19"/>
          <w:szCs w:val="19"/>
        </w:rPr>
        <w:t xml:space="preserve">IBM</w:t>
      </w:r>
      <w:r>
        <w:rPr>
          <w:rFonts w:ascii="Calibri" w:cs="Calibri" w:eastAsia="Calibri" w:hAnsi="Calibri"/>
          <w:i/>
          <w:iCs/>
          <w:color w:val="595959"/>
          <w:sz w:val="18"/>
          <w:szCs w:val="18"/>
        </w:rPr>
        <w:t xml:space="preserve">  •  Aug 2021 – Aug 2022</w:t>
      </w:r>
    </w:p>
    <w:p>
      <w:pPr>
        <w:spacing w:after="20" w:before="20"/>
      </w:pPr>
      <w:r>
        <w:rPr>
          <w:rFonts w:ascii="Calibri" w:cs="Calibri" w:eastAsia="Calibri" w:hAnsi="Calibri"/>
          <w:i/>
          <w:iCs/>
          <w:color w:val="595959"/>
          <w:sz w:val="18"/>
          <w:szCs w:val="18"/>
        </w:rPr>
        <w:t xml:space="preserve">SNAPP-API — Delta Air Lines Digital Platform  |  Java, Spring Boot, AWS, DynamoDB, Apache Kafka</w:t>
      </w:r>
    </w:p>
    <w:p>
      <w:pPr>
        <w:pStyle w:val="ListParagraph"/>
        <w:numPr>
          <w:ilvl w:val="0"/>
          <w:numId w:val="2"/>
        </w:numPr>
        <w:spacing w:after="30" w:before="30"/>
      </w:pPr>
      <w:r>
        <w:rPr>
          <w:rFonts w:ascii="Calibri" w:cs="Calibri" w:eastAsia="Calibri" w:hAnsi="Calibri"/>
          <w:sz w:val="19"/>
          <w:szCs w:val="19"/>
        </w:rPr>
        <w:t xml:space="preserve">Executed full migration of airline legacy systems to AWS; secured credentials via AWS Secrets Manager; developed serverless features with AWS Lambda.</w:t>
      </w:r>
    </w:p>
    <w:p>
      <w:pPr>
        <w:pStyle w:val="ListParagraph"/>
        <w:numPr>
          <w:ilvl w:val="0"/>
          <w:numId w:val="2"/>
        </w:numPr>
        <w:spacing w:after="30" w:before="30"/>
      </w:pPr>
      <w:r>
        <w:rPr>
          <w:rFonts w:ascii="Calibri" w:cs="Calibri" w:eastAsia="Calibri" w:hAnsi="Calibri"/>
          <w:sz w:val="19"/>
          <w:szCs w:val="19"/>
        </w:rPr>
        <w:t xml:space="preserve">Built Kafka-based async messaging services and managed batch processing via shell scripts and cron jobs for flight check-in and boarding pass workflows.</w:t>
      </w:r>
    </w:p>
    <w:p>
      <w:pPr>
        <w:spacing w:after="20" w:before="120"/>
      </w:pPr>
      <w:r>
        <w:rPr>
          <w:rFonts w:ascii="Calibri" w:cs="Calibri" w:eastAsia="Calibri" w:hAnsi="Calibri"/>
          <w:b/>
          <w:bCs/>
          <w:color w:val="1F4E79"/>
          <w:sz w:val="20"/>
          <w:szCs w:val="20"/>
        </w:rPr>
        <w:t xml:space="preserve">Senior Software Engineer</w:t>
      </w:r>
      <w:r>
        <w:rPr>
          <w:rFonts w:ascii="Calibri" w:cs="Calibri" w:eastAsia="Calibri" w:hAnsi="Calibri"/>
          <w:color w:val="595959"/>
          <w:sz w:val="19"/>
          <w:szCs w:val="19"/>
        </w:rPr>
        <w:t xml:space="preserve">  |  </w:t>
      </w:r>
      <w:r>
        <w:rPr>
          <w:rFonts w:ascii="Calibri" w:cs="Calibri" w:eastAsia="Calibri" w:hAnsi="Calibri"/>
          <w:b/>
          <w:bCs/>
          <w:color w:val="2E75B6"/>
          <w:sz w:val="19"/>
          <w:szCs w:val="19"/>
        </w:rPr>
        <w:t xml:space="preserve">Mindtree Limited</w:t>
      </w:r>
      <w:r>
        <w:rPr>
          <w:rFonts w:ascii="Calibri" w:cs="Calibri" w:eastAsia="Calibri" w:hAnsi="Calibri"/>
          <w:i/>
          <w:iCs/>
          <w:color w:val="595959"/>
          <w:sz w:val="18"/>
          <w:szCs w:val="18"/>
        </w:rPr>
        <w:t xml:space="preserve">  •  Mar 2018 – Aug 2021</w:t>
      </w:r>
    </w:p>
    <w:p>
      <w:pPr>
        <w:spacing w:after="20" w:before="20"/>
      </w:pPr>
      <w:r>
        <w:rPr>
          <w:rFonts w:ascii="Calibri" w:cs="Calibri" w:eastAsia="Calibri" w:hAnsi="Calibri"/>
          <w:i/>
          <w:iCs/>
          <w:color w:val="595959"/>
          <w:sz w:val="18"/>
          <w:szCs w:val="18"/>
        </w:rPr>
        <w:t xml:space="preserve">Commercial-MDS — Equifax Interconnect for Verizon  |  Java, Spring Boot, GCP, Microservices, Oracle</w:t>
      </w:r>
    </w:p>
    <w:p>
      <w:pPr>
        <w:pStyle w:val="ListParagraph"/>
        <w:numPr>
          <w:ilvl w:val="0"/>
          <w:numId w:val="2"/>
        </w:numPr>
        <w:spacing w:after="30" w:before="30"/>
      </w:pPr>
      <w:r>
        <w:rPr>
          <w:rFonts w:ascii="Calibri" w:cs="Calibri" w:eastAsia="Calibri" w:hAnsi="Calibri"/>
          <w:sz w:val="19"/>
          <w:szCs w:val="19"/>
        </w:rPr>
        <w:t xml:space="preserve">Developed GCP-based RESTful microservices to aggregate credit reports from multiple data sources for Verizon customers; achieved PCI-DSS compliance via CyberArk.</w:t>
      </w:r>
    </w:p>
    <w:p>
      <w:pPr>
        <w:pStyle w:val="ListParagraph"/>
        <w:numPr>
          <w:ilvl w:val="0"/>
          <w:numId w:val="2"/>
        </w:numPr>
        <w:spacing w:after="30" w:before="30"/>
      </w:pPr>
      <w:r>
        <w:rPr>
          <w:rFonts w:ascii="Calibri" w:cs="Calibri" w:eastAsia="Calibri" w:hAnsi="Calibri"/>
          <w:sz w:val="19"/>
          <w:szCs w:val="19"/>
        </w:rPr>
        <w:t xml:space="preserve">Ran Fortify SAST scans and remediated OWASP Top 10 vulnerabilities; integrated Apache Kafka messaging and Zool Proxy Gateway for service tracing.</w:t>
      </w:r>
    </w:p>
    <w:p>
      <w:pPr>
        <w:pBdr>
          <w:bottom w:val="single" w:color="2E75B6" w:sz="6" w:space="3"/>
        </w:pBdr>
        <w:spacing w:after="60" w:before="180"/>
      </w:pPr>
      <w:r>
        <w:rPr>
          <w:rFonts w:ascii="Calibri" w:cs="Calibri" w:eastAsia="Calibri" w:hAnsi="Calibri"/>
          <w:b/>
          <w:bCs/>
          <w:color w:val="1F4E79"/>
          <w:sz w:val="22"/>
          <w:szCs w:val="22"/>
        </w:rPr>
        <w:t xml:space="preserve">KEY ACHIEVEMENTS</w:t>
      </w:r>
    </w:p>
    <w:p>
      <w:pPr>
        <w:pStyle w:val="ListParagraph"/>
        <w:numPr>
          <w:ilvl w:val="0"/>
          <w:numId w:val="2"/>
        </w:numPr>
        <w:spacing w:after="30" w:before="30"/>
      </w:pPr>
      <w:r>
        <w:rPr>
          <w:rFonts w:ascii="Calibri" w:cs="Calibri" w:eastAsia="Calibri" w:hAnsi="Calibri"/>
          <w:sz w:val="19"/>
          <w:szCs w:val="19"/>
        </w:rPr>
        <w:t xml:space="preserve">Led 2 successful on-prem → cloud migrations (AWS &amp; Azure) with zero critical production incidents across banking and aviation domains.</w:t>
      </w:r>
    </w:p>
    <w:p>
      <w:pPr>
        <w:pStyle w:val="ListParagraph"/>
        <w:numPr>
          <w:ilvl w:val="0"/>
          <w:numId w:val="2"/>
        </w:numPr>
        <w:spacing w:after="30" w:before="30"/>
      </w:pPr>
      <w:r>
        <w:rPr>
          <w:rFonts w:ascii="Calibri" w:cs="Calibri" w:eastAsia="Calibri" w:hAnsi="Calibri"/>
          <w:sz w:val="19"/>
          <w:szCs w:val="19"/>
        </w:rPr>
        <w:t xml:space="preserve">Delivered real-time Kafka streaming pipeline at Honeywell powering dashboards for Fortune 500 clients Nike and Flipkart.</w:t>
      </w:r>
    </w:p>
    <w:p>
      <w:pPr>
        <w:pStyle w:val="ListParagraph"/>
        <w:numPr>
          <w:ilvl w:val="0"/>
          <w:numId w:val="2"/>
        </w:numPr>
        <w:spacing w:after="30" w:before="30"/>
      </w:pPr>
      <w:r>
        <w:rPr>
          <w:rFonts w:ascii="Calibri" w:cs="Calibri" w:eastAsia="Calibri" w:hAnsi="Calibri"/>
          <w:sz w:val="19"/>
          <w:szCs w:val="19"/>
        </w:rPr>
        <w:t xml:space="preserve">Implemented enterprise-grade security (CyberArk, Fortify, AWS Secrets Manager) achieving PCI-DSS compliance at Equifax/Verizon.</w:t>
      </w:r>
    </w:p>
    <w:p>
      <w:pPr>
        <w:pStyle w:val="ListParagraph"/>
        <w:numPr>
          <w:ilvl w:val="0"/>
          <w:numId w:val="2"/>
        </w:numPr>
        <w:spacing w:after="30" w:before="30"/>
      </w:pPr>
      <w:r>
        <w:rPr>
          <w:rFonts w:ascii="Calibri" w:cs="Calibri" w:eastAsia="Calibri" w:hAnsi="Calibri"/>
          <w:sz w:val="19"/>
          <w:szCs w:val="19"/>
        </w:rPr>
        <w:t xml:space="preserve">Promoted to Lead Engineer managing architecture decisions, stakeholder engagement, and cross-functional delivery.</w:t>
      </w:r>
    </w:p>
    <w:p>
      <w:pPr>
        <w:pBdr>
          <w:bottom w:val="single" w:color="2E75B6" w:sz="6" w:space="3"/>
        </w:pBdr>
        <w:spacing w:after="60" w:before="180"/>
      </w:pPr>
      <w:r>
        <w:rPr>
          <w:rFonts w:ascii="Calibri" w:cs="Calibri" w:eastAsia="Calibri" w:hAnsi="Calibri"/>
          <w:b/>
          <w:bCs/>
          <w:color w:val="1F4E79"/>
          <w:sz w:val="22"/>
          <w:szCs w:val="22"/>
        </w:rPr>
        <w:t xml:space="preserve">EDUCATION</w:t>
      </w:r>
    </w:p>
    <w:p>
      <w:pPr>
        <w:spacing w:after="30" w:before="60"/>
      </w:pPr>
      <w:r>
        <w:rPr>
          <w:rFonts w:ascii="Calibri" w:cs="Calibri" w:eastAsia="Calibri" w:hAnsi="Calibri"/>
          <w:b/>
          <w:bCs/>
          <w:color w:val="1F4E79"/>
          <w:sz w:val="20"/>
          <w:szCs w:val="20"/>
        </w:rPr>
        <w:t xml:space="preserve">Bachelor of Technology (B.Tech)</w:t>
      </w:r>
      <w:r>
        <w:rPr>
          <w:rFonts w:ascii="Calibri" w:cs="Calibri" w:eastAsia="Calibri" w:hAnsi="Calibri"/>
          <w:color w:val="595959"/>
          <w:sz w:val="19"/>
          <w:szCs w:val="19"/>
        </w:rPr>
        <w:t xml:space="preserve">  —  Rise Gandhi Groups of Institutions  |  Aggregate: 74%</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2026-05-12T03:15:56.094Z</dcterms:created>
  <dcterms:modified xsi:type="dcterms:W3CDTF">2026-05-12T03:15:56.110Z</dcterms:modified>
</cp:coreProperties>
</file>

<file path=docProps/custom.xml><?xml version="1.0" encoding="utf-8"?>
<Properties xmlns="http://schemas.openxmlformats.org/officeDocument/2006/custom-properties" xmlns:vt="http://schemas.openxmlformats.org/officeDocument/2006/docPropsVTypes"/>
</file>