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5897880" cy="1906250"/>
            <wp:docPr id="1" name="Picture 1" descr="One Dream Group logo and tagline: To Bring Togetherness" title="One Dream Gro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-dream-group-logo-execu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keepNext/>
      </w:pPr>
      <w:r>
        <w:rPr>
          <w:rFonts w:ascii="Calibri" w:hAnsi="Calibri" w:eastAsia="Calibri"/>
          <w:b/>
          <w:color w:val="B68432"/>
          <w:sz w:val="18"/>
        </w:rPr>
        <w:t>COMMERCIAL PRODUCT STRATEGY</w:t>
      </w:r>
    </w:p>
    <w:p>
      <w:pPr>
        <w:pStyle w:val="Title"/>
        <w:keepNext/>
        <w:spacing w:after="140"/>
      </w:pPr>
      <w:r>
        <w:rPr>
          <w:rFonts w:ascii="Calibri" w:hAnsi="Calibri" w:eastAsia="Calibri"/>
          <w:b/>
          <w:color w:val="081326"/>
          <w:sz w:val="62"/>
        </w:rPr>
        <w:t>DreamLead OS</w:t>
      </w:r>
    </w:p>
    <w:p>
      <w:pPr>
        <w:pStyle w:val="Subtitle"/>
        <w:spacing w:after="360"/>
      </w:pPr>
      <w:r>
        <w:rPr>
          <w:rFonts w:ascii="Calibri" w:hAnsi="Calibri" w:eastAsia="Calibri"/>
          <w:color w:val="566176"/>
          <w:sz w:val="27"/>
        </w:rPr>
        <w:t>Brand, subscription model and 90-day sales plan for a reusable lead capture and conversion product.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68432"/>
                <w:sz w:val="16"/>
              </w:rPr>
              <w:t>PREPARED FOR</w:t>
              <w:br/>
            </w:r>
            <w:r>
              <w:rPr>
                <w:rFonts w:ascii="Calibri" w:hAnsi="Calibri" w:eastAsia="Calibri"/>
                <w:b/>
                <w:color w:val="172033"/>
                <w:sz w:val="20"/>
              </w:rPr>
              <w:t>One Dream Group</w:t>
            </w:r>
          </w:p>
        </w:tc>
        <w:tc>
          <w:tcPr>
            <w:tcW w:type="dxa" w:w="4680"/>
            <w:shd w:fill="F7F0E2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68432"/>
                <w:sz w:val="16"/>
              </w:rPr>
              <w:t>BUSINESS MODEL</w:t>
              <w:br/>
            </w:r>
            <w:r>
              <w:rPr>
                <w:rFonts w:ascii="Calibri" w:hAnsi="Calibri" w:eastAsia="Calibri"/>
                <w:b/>
                <w:color w:val="172033"/>
                <w:sz w:val="20"/>
              </w:rPr>
              <w:t>Managed SaaS + aligned success fee</w:t>
            </w:r>
          </w:p>
        </w:tc>
      </w:tr>
      <w:tr>
        <w:tc>
          <w:tcPr>
            <w:tcW w:type="dxa" w:w="4680"/>
            <w:shd w:fill="F5F7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68432"/>
                <w:sz w:val="16"/>
              </w:rPr>
              <w:t>RECOMMENDED LAUNCH</w:t>
              <w:br/>
            </w:r>
            <w:r>
              <w:rPr>
                <w:rFonts w:ascii="Calibri" w:hAnsi="Calibri" w:eastAsia="Calibri"/>
                <w:b/>
                <w:color w:val="172033"/>
                <w:sz w:val="20"/>
              </w:rPr>
              <w:t>3-5 paid pilot customers</w:t>
            </w:r>
          </w:p>
        </w:tc>
        <w:tc>
          <w:tcPr>
            <w:tcW w:type="dxa" w:w="4680"/>
            <w:shd w:fill="F7F0E2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B68432"/>
                <w:sz w:val="16"/>
              </w:rPr>
              <w:t>COMMERCIAL ANCHOR</w:t>
              <w:br/>
            </w:r>
            <w:r>
              <w:rPr>
                <w:rFonts w:ascii="Calibri" w:hAnsi="Calibri" w:eastAsia="Calibri"/>
                <w:b/>
                <w:color w:val="172033"/>
                <w:sz w:val="20"/>
              </w:rPr>
              <w:t>₹9,999 monthly floor or 10% of verified profit</w:t>
            </w:r>
          </w:p>
        </w:tc>
      </w:tr>
    </w:tbl>
    <w:p>
      <w:pPr>
        <w:spacing w:after="0"/>
      </w:pPr>
    </w:p>
    <w:p>
      <w:pPr>
        <w:spacing w:before="80" w:after="120" w:line="269" w:lineRule="auto"/>
        <w:ind w:left="180" w:right="180"/>
        <w:shd w:fill="EDF0FA" w:val="clear"/>
        <w:pBdr>
          <w:top w:val="single" w:sz="8" w:space="6" w:color="4048B5"/>
          <w:left w:val="single" w:sz="8" w:space="6" w:color="4048B5"/>
          <w:bottom w:val="single" w:sz="8" w:space="6" w:color="4048B5"/>
          <w:right w:val="single" w:sz="8" w:space="6" w:color="4048B5"/>
        </w:pBdr>
      </w:pPr>
      <w:r>
        <w:rPr>
          <w:rFonts w:ascii="Calibri" w:hAnsi="Calibri" w:eastAsia="Calibri"/>
          <w:b/>
          <w:color w:val="4048B5"/>
          <w:sz w:val="18"/>
        </w:rPr>
        <w:t xml:space="preserve">EXECUTIVE RECOMMENDATION  </w:t>
      </w:r>
      <w:r>
        <w:rPr>
          <w:rFonts w:ascii="Calibri" w:hAnsi="Calibri" w:eastAsia="Calibri"/>
          <w:b w:val="0"/>
          <w:color w:val="172033"/>
          <w:sz w:val="21"/>
        </w:rPr>
        <w:t>Do not sell this as a generic form builder. Sell it as a branded enquiry-to-revenue operating system for high-touch service and event businesses. Launch first as a managed subscription, then convert the proven workflow into a true multi-tenant SaaS.</w:t>
      </w:r>
    </w:p>
    <w:p>
      <w:pPr>
        <w:spacing w:after="0"/>
      </w:pPr>
      <w:r>
        <w:rPr>
          <w:rFonts w:ascii="Calibri" w:hAnsi="Calibri" w:eastAsia="Calibri"/>
          <w:b/>
          <w:color w:val="172033"/>
        </w:rPr>
        <w:t>Pricing principle:</w:t>
      </w:r>
      <w:r>
        <w:rPr>
          <w:rFonts w:ascii="Calibri" w:hAnsi="Calibri" w:eastAsia="Calibri"/>
          <w:i w:val="0"/>
          <w:color w:val="172033"/>
        </w:rPr>
        <w:t xml:space="preserve"> the client pays the greater of the monthly minimum or 10% of verified platform-attributable contribution profit. The two charges are not stacked.</w:t>
      </w:r>
    </w:p>
    <w:p>
      <w:r>
        <w:br w:type="page"/>
      </w:r>
    </w:p>
    <w:p>
      <w:pPr>
        <w:spacing w:after="60"/>
        <w:keepNext/>
      </w:pPr>
      <w:r>
        <w:rPr>
          <w:rFonts w:ascii="Calibri" w:hAnsi="Calibri" w:eastAsia="Calibri"/>
          <w:b/>
          <w:color w:val="B68432"/>
          <w:sz w:val="18"/>
        </w:rPr>
        <w:t>1 / BRAND AND OFFER</w:t>
      </w:r>
    </w:p>
    <w:p>
      <w:pPr>
        <w:pStyle w:val="Title"/>
        <w:keepNext/>
        <w:spacing w:after="140"/>
      </w:pPr>
      <w:r>
        <w:rPr>
          <w:rFonts w:ascii="Calibri" w:hAnsi="Calibri" w:eastAsia="Calibri"/>
          <w:b/>
          <w:color w:val="081326"/>
          <w:sz w:val="50"/>
        </w:rPr>
        <w:t>Position the outcome, not the stack</w:t>
      </w:r>
    </w:p>
    <w:p>
      <w:pPr/>
      <w:r>
        <w:rPr>
          <w:rFonts w:ascii="Calibri" w:hAnsi="Calibri" w:eastAsia="Calibri"/>
          <w:i w:val="0"/>
          <w:color w:val="172033"/>
        </w:rPr>
        <w:t>Resend, Supabase and Vercel are delivery infrastructure. The customer is buying a reliable operating flow: capture an enquiry, acknowledge it, assign it, follow it up, convert it and prove what revenue came from it.</w:t>
      </w:r>
    </w:p>
    <w:p>
      <w:pPr>
        <w:spacing w:before="80" w:after="120" w:line="269" w:lineRule="auto"/>
        <w:ind w:left="180" w:right="180"/>
        <w:shd w:fill="F7F0E2" w:val="clear"/>
        <w:pBdr>
          <w:top w:val="single" w:sz="8" w:space="6" w:color="B68432"/>
          <w:left w:val="single" w:sz="8" w:space="6" w:color="B68432"/>
          <w:bottom w:val="single" w:sz="8" w:space="6" w:color="B68432"/>
          <w:right w:val="single" w:sz="8" w:space="6" w:color="B68432"/>
        </w:pBdr>
      </w:pPr>
      <w:r>
        <w:rPr>
          <w:rFonts w:ascii="Calibri" w:hAnsi="Calibri" w:eastAsia="Calibri"/>
          <w:b/>
          <w:color w:val="B68432"/>
          <w:sz w:val="18"/>
        </w:rPr>
        <w:t xml:space="preserve">RECOMMENDED BRAND  </w:t>
      </w:r>
      <w:r>
        <w:rPr>
          <w:rFonts w:ascii="Calibri" w:hAnsi="Calibri" w:eastAsia="Calibri"/>
          <w:b w:val="0"/>
          <w:color w:val="172033"/>
          <w:sz w:val="21"/>
        </w:rPr>
        <w:t>DreamLead OS by One Dream Group — a branded lead capture and conversion platform. Tagline: “From enquiry to revenue, in one flow.”</w:t>
      </w:r>
    </w:p>
    <w:p>
      <w:pPr>
        <w:pStyle w:val="Heading2"/>
        <w:keepNext/>
      </w:pPr>
      <w:r>
        <w:t>Brand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60"/>
      </w:tblGrid>
      <w:tr>
        <w:trPr>
          <w:tblHeader w:val="true"/>
        </w:trPr>
        <w:tc>
          <w:tcPr>
            <w:tcW w:type="dxa" w:w="170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Layer</w:t>
            </w:r>
          </w:p>
        </w:tc>
        <w:tc>
          <w:tcPr>
            <w:tcW w:type="dxa" w:w="260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Recommendation</w:t>
            </w:r>
          </w:p>
        </w:tc>
        <w:tc>
          <w:tcPr>
            <w:tcW w:type="dxa" w:w="506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Why it works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8"/>
              </w:rPr>
              <w:t>Parent company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One Dream Group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Keeps trust, ownership and future products under one company.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8"/>
              </w:rPr>
              <w:t>Product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DreamLead OS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Distinctive enough to extend beyond tournaments while retaining the parent identity.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8"/>
              </w:rPr>
              <w:t>Category line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Lead capture &amp; conversion platform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Explains the product in plain language on first contact.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8"/>
              </w:rPr>
              <w:t>Core promise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No lost leads. Clear ownership. Visible conversion.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Turns technical features into operational business value.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Best first customer</w:t>
      </w:r>
    </w:p>
    <w:p>
      <w:pPr/>
      <w:r>
        <w:rPr>
          <w:rFonts w:ascii="Calibri" w:hAnsi="Calibri" w:eastAsia="Calibri"/>
          <w:i w:val="0"/>
          <w:color w:val="172033"/>
        </w:rPr>
        <w:t>Begin with businesses where each enquiry is valuable and the journey has clear stages: event organizers, academies, training providers, membership programs, agencies and appointment-led service companies. This is a stronger beachhead than “lead collection for everyone,” where the product would be compared with low-cost form tools.</w:t>
      </w:r>
    </w:p>
    <w:p>
      <w:pPr>
        <w:pStyle w:val="Heading2"/>
        <w:keepNext/>
      </w:pPr>
      <w:r>
        <w:t>What the customer gets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A branded landing page and short, validated enquiry form with source/UTM attribution.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Immediate customer acknowledgement plus an operations alert, delivered through a verified sender domain.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A secure admin CRM with stages, search, filters, ownership, follow-up dates and CSV export.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Consent records, duplicate protection, rate limiting and an audit-friendly operating history.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Conversion reporting; optional invitation, onboarding, payment-status and receipt workflows.</w:t>
      </w:r>
    </w:p>
    <w:p>
      <w:pPr>
        <w:spacing w:after="0"/>
      </w:pPr>
      <w:r>
        <w:rPr>
          <w:rFonts w:ascii="Calibri" w:hAnsi="Calibri" w:eastAsia="Calibri"/>
          <w:i/>
          <w:color w:val="172033"/>
        </w:rPr>
        <w:t>Name caution: “DreamLead OS” is a working recommendation. Complete trademark, domain and social-handle checks before public launch.</w:t>
      </w:r>
    </w:p>
    <w:p>
      <w:r>
        <w:br w:type="page"/>
      </w:r>
    </w:p>
    <w:p>
      <w:pPr>
        <w:spacing w:after="60"/>
        <w:keepNext/>
      </w:pPr>
      <w:r>
        <w:rPr>
          <w:rFonts w:ascii="Calibri" w:hAnsi="Calibri" w:eastAsia="Calibri"/>
          <w:b/>
          <w:color w:val="B68432"/>
          <w:sz w:val="18"/>
        </w:rPr>
        <w:t>2 / SUBSCRIPTION AND 10% PROFIT SHARE</w:t>
      </w:r>
    </w:p>
    <w:p>
      <w:pPr>
        <w:pStyle w:val="Title"/>
        <w:keepNext/>
        <w:spacing w:after="140"/>
      </w:pPr>
      <w:r>
        <w:rPr>
          <w:rFonts w:ascii="Calibri" w:hAnsi="Calibri" w:eastAsia="Calibri"/>
          <w:b/>
          <w:color w:val="081326"/>
          <w:sz w:val="50"/>
        </w:rPr>
        <w:t>Use one transparent monthly formula</w:t>
      </w:r>
    </w:p>
    <w:p>
      <w:pPr>
        <w:spacing w:before="80" w:after="120" w:line="269" w:lineRule="auto"/>
        <w:ind w:left="180" w:right="180"/>
        <w:shd w:fill="EDF0FA" w:val="clear"/>
        <w:pBdr>
          <w:top w:val="single" w:sz="8" w:space="6" w:color="4048B5"/>
          <w:left w:val="single" w:sz="8" w:space="6" w:color="4048B5"/>
          <w:bottom w:val="single" w:sz="8" w:space="6" w:color="4048B5"/>
          <w:right w:val="single" w:sz="8" w:space="6" w:color="4048B5"/>
        </w:pBdr>
      </w:pPr>
      <w:r>
        <w:rPr>
          <w:rFonts w:ascii="Calibri" w:hAnsi="Calibri" w:eastAsia="Calibri"/>
          <w:b/>
          <w:color w:val="4048B5"/>
          <w:sz w:val="18"/>
        </w:rPr>
        <w:t xml:space="preserve">RECOMMENDED LAUNCH FORMULA  </w:t>
      </w:r>
      <w:r>
        <w:rPr>
          <w:rFonts w:ascii="Calibri" w:hAnsi="Calibri" w:eastAsia="Calibri"/>
          <w:b w:val="0"/>
          <w:color w:val="172033"/>
          <w:sz w:val="21"/>
        </w:rPr>
        <w:t>Monthly invoice = greater of ₹9,999 or 10% of Verified Attributable Contribution Profit (VACP), plus applicable GST. The ₹9,999 minimum is credited against the 10% calculation; it is not an additional charge.</w:t>
      </w:r>
    </w:p>
    <w:p>
      <w:pPr>
        <w:pStyle w:val="Heading2"/>
        <w:keepNext/>
      </w:pPr>
      <w:r>
        <w:t>Define profit before selling</w:t>
      </w:r>
    </w:p>
    <w:p>
      <w:pPr/>
      <w:r>
        <w:rPr>
          <w:rFonts w:ascii="Calibri" w:hAnsi="Calibri" w:eastAsia="Calibri"/>
          <w:i w:val="0"/>
          <w:color w:val="172033"/>
        </w:rPr>
        <w:t>Use “contribution profit,” not the client’s full accounting net profit. It is measurable, tied to the product and much harder to dispute.</w:t>
      </w:r>
    </w:p>
    <w:p>
      <w:pPr/>
      <w:r>
        <w:rPr>
          <w:rFonts w:ascii="Calibri" w:hAnsi="Calibri" w:eastAsia="Calibri"/>
          <w:b/>
          <w:color w:val="172033"/>
        </w:rPr>
        <w:t>VACP =</w:t>
      </w:r>
      <w:r>
        <w:rPr>
          <w:rFonts w:ascii="Calibri" w:hAnsi="Calibri" w:eastAsia="Calibri"/>
          <w:i w:val="0"/>
          <w:color w:val="172033"/>
        </w:rPr>
        <w:t xml:space="preserve"> cash collected from DreamLead-tagged customers − refunds and discounts − indirect taxes − payment-gateway fees − documented direct fulfilment cost.</w:t>
      </w:r>
    </w:p>
    <w:p>
      <w:pPr/>
      <w:r>
        <w:rPr>
          <w:rFonts w:ascii="Calibri" w:hAnsi="Calibri" w:eastAsia="Calibri"/>
          <w:i w:val="0"/>
          <w:color w:val="172033"/>
        </w:rPr>
        <w:t>Exclude rent, salaries, unrelated advertising and general overhead unless both parties explicitly agree. Lock each monthly statement after a short review window, and let both the client admin and One Dream platform admin see the same ledger.</w:t>
      </w:r>
    </w:p>
    <w:p>
      <w:pPr>
        <w:pStyle w:val="Heading2"/>
        <w:keepNext/>
      </w:pPr>
      <w:r>
        <w:t>Illustrative monthly invoices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900"/>
        <w:gridCol w:w="1650"/>
        <w:gridCol w:w="3410"/>
      </w:tblGrid>
      <w:tr>
        <w:trPr>
          <w:tblHeader w:val="true"/>
        </w:trPr>
        <w:tc>
          <w:tcPr>
            <w:tcW w:type="dxa" w:w="240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Verified contribution profit</w:t>
            </w:r>
          </w:p>
        </w:tc>
        <w:tc>
          <w:tcPr>
            <w:tcW w:type="dxa" w:w="190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10% calculation</w:t>
            </w:r>
          </w:p>
        </w:tc>
        <w:tc>
          <w:tcPr>
            <w:tcW w:type="dxa" w:w="165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Invoice</w:t>
            </w:r>
          </w:p>
        </w:tc>
        <w:tc>
          <w:tcPr>
            <w:tcW w:type="dxa" w:w="341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Reason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172033"/>
                <w:sz w:val="18"/>
              </w:rPr>
              <w:t>₹0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₹0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₹9,999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Minimum platform subscription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172033"/>
                <w:sz w:val="18"/>
              </w:rPr>
              <w:t>₹40,000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₹4,000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₹9,999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Minimum still applies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172033"/>
                <w:sz w:val="18"/>
              </w:rPr>
              <w:t>₹1,50,000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₹15,000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₹15,000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10% is above the floor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 w:eastAsia="Calibri"/>
                <w:b/>
                <w:color w:val="172033"/>
                <w:sz w:val="18"/>
              </w:rPr>
              <w:t>₹5,00,000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₹50,000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right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₹50,000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Aligned upside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Minimum subscription assurance</w:t>
      </w:r>
    </w:p>
    <w:p>
      <w:pPr/>
      <w:r>
        <w:rPr>
          <w:rFonts w:ascii="Calibri" w:hAnsi="Calibri" w:eastAsia="Calibri"/>
          <w:i w:val="0"/>
          <w:color w:val="172033"/>
        </w:rPr>
        <w:t>The ₹9,999 floor should include one production workspace, one branded funnel, up to 5 admin users, 1,000 new leads/month, 3,000 transactional emails/month, standard dashboards and exports, daily managed backups through the production database plan, and business-hours support. Standard onboarding is included with an initial six-month commitment.</w:t>
      </w:r>
    </w:p>
    <w:p>
      <w:pPr>
        <w:pStyle w:val="Heading2"/>
        <w:keepNext/>
      </w:pPr>
      <w:r>
        <w:t>Commercial boundaries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Pass through approved usage overages at vendor cost with alerts at 70%, 90% and 100%; do not surprise the customer.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Treat domains, paid ads, WhatsApp/SMS, payment-gateway charges and bespoke integrations as customer-paid or separately quoted items.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Reconcile the profit share one month in arrears; collect the minimum subscription in advance.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After the multi-tenant SaaS is stable, test a ₹4,999 floor for standardized self-service accounts; keep ₹9,999 for managed accounts.</w:t>
      </w:r>
    </w:p>
    <w:p>
      <w:r>
        <w:br w:type="page"/>
      </w:r>
    </w:p>
    <w:p>
      <w:pPr>
        <w:spacing w:after="60"/>
        <w:keepNext/>
      </w:pPr>
      <w:r>
        <w:rPr>
          <w:rFonts w:ascii="Calibri" w:hAnsi="Calibri" w:eastAsia="Calibri"/>
          <w:b/>
          <w:color w:val="B68432"/>
          <w:sz w:val="18"/>
        </w:rPr>
        <w:t>3 / INFRASTRUCTURE AND PRODUCTIZATION</w:t>
      </w:r>
    </w:p>
    <w:p>
      <w:pPr>
        <w:pStyle w:val="Title"/>
        <w:keepNext/>
        <w:spacing w:after="140"/>
      </w:pPr>
      <w:r>
        <w:rPr>
          <w:rFonts w:ascii="Calibri" w:hAnsi="Calibri" w:eastAsia="Calibri"/>
          <w:b/>
          <w:color w:val="081326"/>
          <w:sz w:val="50"/>
        </w:rPr>
        <w:t>Fund production-grade infrastructure first</w:t>
      </w:r>
    </w:p>
    <w:p>
      <w:pPr/>
      <w:r>
        <w:rPr>
          <w:rFonts w:ascii="Calibri" w:hAnsi="Calibri" w:eastAsia="Calibri"/>
          <w:i w:val="0"/>
          <w:color w:val="172033"/>
        </w:rPr>
        <w:t>For a paid commercial product, budget the paid production plans from day one. Free tiers are excellent for development, but they weaken the assurance being sold: Vercel describes Hobby as personal/non-commercial, Supabase free projects can pause after inactivity, and Resend Free is capped at 100 emails/day.</w:t>
      </w:r>
    </w:p>
    <w:p>
      <w:pPr>
        <w:pStyle w:val="Heading2"/>
        <w:keepNext/>
      </w:pPr>
      <w:r>
        <w:t>Starting vendor cost for a dedicated customer stack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850"/>
        <w:gridCol w:w="1950"/>
        <w:gridCol w:w="4160"/>
      </w:tblGrid>
      <w:tr>
        <w:trPr>
          <w:tblHeader w:val="true"/>
        </w:trPr>
        <w:tc>
          <w:tcPr>
            <w:tcW w:type="dxa" w:w="140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Service</w:t>
            </w:r>
          </w:p>
        </w:tc>
        <w:tc>
          <w:tcPr>
            <w:tcW w:type="dxa" w:w="185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Planning tier</w:t>
            </w:r>
          </w:p>
        </w:tc>
        <w:tc>
          <w:tcPr>
            <w:tcW w:type="dxa" w:w="195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Current starting price</w:t>
            </w:r>
          </w:p>
        </w:tc>
        <w:tc>
          <w:tcPr>
            <w:tcW w:type="dxa" w:w="416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Relevant allowance / note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7"/>
              </w:rPr>
              <w:t>Vercel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Pro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$20/month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$20 usage credit; pay-as-you-go beyond included usage.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7"/>
              </w:rPr>
              <w:t>Supabase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Pro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$25/month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First project, backups, 8 GB database, 100k MAU and usage allowances.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7"/>
              </w:rPr>
              <w:t>Resend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Transactional Pro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$20/month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50,000 emails/month; overage $0.90 per 1,000.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7"/>
              </w:rPr>
              <w:t>Total floor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Paid production stack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$65/month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Before tax, FX, domain, monitoring and usage overages.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  <w:t xml:space="preserve"> </w:t>
      </w:r>
    </w:p>
    <w:p>
      <w:pPr>
        <w:spacing w:after="160"/>
      </w:pPr>
      <w:r>
        <w:rPr>
          <w:rFonts w:ascii="Calibri" w:hAnsi="Calibri" w:eastAsia="Calibri"/>
          <w:i w:val="0"/>
          <w:color w:val="172033"/>
        </w:rPr>
        <w:t>Planning conversion: at ₹90 per US dollar, $65 is approximately ₹5,850/month before taxes. This is a budgeting assumption, not a quoted exchange rate. It explains why a dedicated managed account should not launch below ₹9,999/month.</w:t>
      </w:r>
    </w:p>
    <w:p>
      <w:pPr>
        <w:pStyle w:val="Heading2"/>
        <w:keepNext/>
      </w:pPr>
      <w:r>
        <w:t>Recommended operating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50"/>
        <w:gridCol w:w="3710"/>
      </w:tblGrid>
      <w:tr>
        <w:trPr>
          <w:tblHeader w:val="true"/>
        </w:trPr>
        <w:tc>
          <w:tcPr>
            <w:tcW w:type="dxa" w:w="200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Stage</w:t>
            </w:r>
          </w:p>
        </w:tc>
        <w:tc>
          <w:tcPr>
            <w:tcW w:type="dxa" w:w="365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Architecture</w:t>
            </w:r>
          </w:p>
        </w:tc>
        <w:tc>
          <w:tcPr>
            <w:tcW w:type="dxa" w:w="371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Commercial use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8"/>
              </w:rPr>
              <w:t>First 3–5 customers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Dedicated deployment/project per customer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Faster pilot, clearer isolation, higher monthly floor and more manual setup.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8"/>
              </w:rPr>
              <w:t>Scaled product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Shared multi-tenant app with tenant-scoped data and metering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8"/>
              </w:rPr>
              <w:t>Lower marginal cost, consistent releases and a possible ₹4,999 self-service floor.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Must be added before broad SaaS sale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Tenant/workspace IDs on every customer-owned record, tenant-aware row-level security and automated isolation tests.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Customer branding, custom domains, form configuration, email templates and verified sending-domain onboarding.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Plans, quotas, usage metering, subscription billing, dunning, cancellation and data-export/deletion workflows.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Won revenue, direct cost, refunds and the VACP ledger; platform-admin and customer-admin views must match.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72033"/>
        </w:rPr>
        <w:t>Monitoring, incident response, backup/restore testing, support ownership, privacy terms and a data-processing agreement.</w:t>
      </w:r>
    </w:p>
    <w:p>
      <w:pPr>
        <w:spacing w:before="80" w:after="0"/>
      </w:pPr>
      <w:r>
        <w:rPr>
          <w:rFonts w:ascii="Calibri" w:hAnsi="Calibri" w:eastAsia="Calibri"/>
          <w:b/>
          <w:color w:val="778196"/>
          <w:sz w:val="17"/>
        </w:rPr>
        <w:t xml:space="preserve">Pricing sources checked 3 August 2026: </w:t>
      </w:r>
      <w:hyperlink r:id="rId12">
        <w:r>
          <w:rPr>
            <w:rFonts w:ascii="Calibri" w:hAnsi="Calibri"/>
            <w:color w:val="4048B5"/>
            <w:u w:val="single"/>
          </w:rPr>
          <w:t>Vercel</w:t>
        </w:r>
      </w:hyperlink>
      <w:r>
        <w:rPr>
          <w:rFonts w:ascii="Calibri" w:hAnsi="Calibri" w:eastAsia="Calibri"/>
          <w:color w:val="778196"/>
          <w:sz w:val="17"/>
        </w:rPr>
        <w:t xml:space="preserve"> · </w:t>
      </w:r>
      <w:hyperlink r:id="rId13">
        <w:r>
          <w:rPr>
            <w:rFonts w:ascii="Calibri" w:hAnsi="Calibri"/>
            <w:color w:val="4048B5"/>
            <w:u w:val="single"/>
          </w:rPr>
          <w:t>Supabase</w:t>
        </w:r>
      </w:hyperlink>
      <w:r>
        <w:rPr>
          <w:rFonts w:ascii="Calibri" w:hAnsi="Calibri" w:eastAsia="Calibri"/>
          <w:color w:val="778196"/>
          <w:sz w:val="17"/>
        </w:rPr>
        <w:t xml:space="preserve"> · </w:t>
      </w:r>
      <w:hyperlink r:id="rId14">
        <w:r>
          <w:rPr>
            <w:rFonts w:ascii="Calibri" w:hAnsi="Calibri"/>
            <w:color w:val="4048B5"/>
            <w:u w:val="single"/>
          </w:rPr>
          <w:t>Resend</w:t>
        </w:r>
      </w:hyperlink>
      <w:r>
        <w:rPr>
          <w:rFonts w:ascii="Calibri" w:hAnsi="Calibri" w:eastAsia="Calibri"/>
          <w:color w:val="778196"/>
          <w:sz w:val="17"/>
        </w:rPr>
        <w:t>. Vendor pricing and limits can change; verify before signing a customer.</w:t>
      </w:r>
    </w:p>
    <w:p>
      <w:r>
        <w:br w:type="page"/>
      </w:r>
    </w:p>
    <w:p>
      <w:pPr>
        <w:spacing w:after="60"/>
        <w:keepNext/>
      </w:pPr>
      <w:r>
        <w:rPr>
          <w:rFonts w:ascii="Calibri" w:hAnsi="Calibri" w:eastAsia="Calibri"/>
          <w:b/>
          <w:color w:val="B68432"/>
          <w:sz w:val="18"/>
        </w:rPr>
        <w:t>4 / SALES PLAN AND LAUNCH ASSURANCE</w:t>
      </w:r>
    </w:p>
    <w:p>
      <w:pPr>
        <w:pStyle w:val="Title"/>
        <w:keepNext/>
        <w:spacing w:after="140"/>
      </w:pPr>
      <w:r>
        <w:rPr>
          <w:rFonts w:ascii="Calibri" w:hAnsi="Calibri" w:eastAsia="Calibri"/>
          <w:b/>
          <w:color w:val="081326"/>
          <w:sz w:val="50"/>
        </w:rPr>
        <w:t>Sell a controlled pilot first</w:t>
      </w:r>
    </w:p>
    <w:p>
      <w:pPr>
        <w:pStyle w:val="Heading2"/>
        <w:keepNext/>
      </w:pPr>
      <w:r>
        <w:t>Founder-led sales message</w:t>
      </w:r>
    </w:p>
    <w:p>
      <w:pPr>
        <w:spacing w:before="80" w:after="120" w:line="269" w:lineRule="auto"/>
        <w:ind w:left="180" w:right="180"/>
        <w:shd w:fill="F7F0E2" w:val="clear"/>
        <w:pBdr>
          <w:top w:val="single" w:sz="8" w:space="6" w:color="B68432"/>
          <w:left w:val="single" w:sz="8" w:space="6" w:color="B68432"/>
          <w:bottom w:val="single" w:sz="8" w:space="6" w:color="B68432"/>
          <w:right w:val="single" w:sz="8" w:space="6" w:color="B68432"/>
        </w:pBdr>
      </w:pPr>
      <w:r>
        <w:rPr>
          <w:rFonts w:ascii="Calibri" w:hAnsi="Calibri" w:eastAsia="Calibri"/>
          <w:b/>
          <w:color w:val="B68432"/>
          <w:sz w:val="18"/>
        </w:rPr>
        <w:t xml:space="preserve">ONE-LINE PITCH  </w:t>
      </w:r>
      <w:r>
        <w:rPr>
          <w:rFonts w:ascii="Calibri" w:hAnsi="Calibri" w:eastAsia="Calibri"/>
          <w:b w:val="0"/>
          <w:color w:val="172033"/>
          <w:sz w:val="21"/>
        </w:rPr>
        <w:t>DreamLead OS gives your campaign a branded enquiry funnel, automatic customer response and a simple follow-up CRM—then charges 10% only when the verified profit is above the monthly minimum.</w:t>
      </w:r>
    </w:p>
    <w:p>
      <w:pPr>
        <w:pStyle w:val="Heading2"/>
        <w:keepNext/>
      </w:pPr>
      <w:r>
        <w:t>Eight-minute sales demo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72033"/>
        </w:rPr>
        <w:t>Submit a real-looking enquiry from the customer’s branded page.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72033"/>
        </w:rPr>
        <w:t>Show the acknowledgement email and the operations alert.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72033"/>
        </w:rPr>
        <w:t>Open the lead in the CRM; assign an owner, stage and follow-up.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72033"/>
        </w:rPr>
        <w:t>Mark it won, enter collected revenue and direct cost, and show the 10% ledger.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72033"/>
        </w:rPr>
        <w:t>Export the data and explain the launch assurance, support and cancellation process.</w:t>
      </w:r>
    </w:p>
    <w:p>
      <w:pPr>
        <w:pStyle w:val="Heading2"/>
        <w:keepNext/>
      </w:pPr>
      <w:r>
        <w:t>90-day launch sequence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250"/>
        <w:gridCol w:w="3760"/>
      </w:tblGrid>
      <w:tr>
        <w:trPr>
          <w:tblHeader w:val="true"/>
        </w:trPr>
        <w:tc>
          <w:tcPr>
            <w:tcW w:type="dxa" w:w="135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Timing</w:t>
            </w:r>
          </w:p>
        </w:tc>
        <w:tc>
          <w:tcPr>
            <w:tcW w:type="dxa" w:w="425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Build / commercial task</w:t>
            </w:r>
          </w:p>
        </w:tc>
        <w:tc>
          <w:tcPr>
            <w:tcW w:type="dxa" w:w="376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Exit evidence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7"/>
              </w:rPr>
              <w:t>Weeks 1–3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Generalize content and branding; add tenant model, customer roles and isolation tests.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Two isolated demo workspaces with different brands and no data leakage.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7"/>
              </w:rPr>
              <w:t>Weeks 4–6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Add plan entitlements, usage metering, billing, VACP ledger and platform-admin controls.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 complete test invoice matches the visible customer ledger.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7"/>
              </w:rPr>
              <w:t>Weeks 7–9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Onboard two paid pilots; finalize support, privacy, cancellation and data-export runbooks.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Both pilots launch and complete an enquiry-to-won workflow.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72033"/>
                <w:sz w:val="17"/>
              </w:rPr>
              <w:t>Weeks 10–12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Refine onboarding, publish one approved proof story, and run focused founder outreach.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Repeatable demo, proposal, contract and onboarding checklist.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  <w:t xml:space="preserve"> </w:t>
      </w:r>
    </w:p>
    <w:p>
      <w:pPr>
        <w:pStyle w:val="Heading2"/>
        <w:keepNext/>
      </w:pPr>
      <w:r>
        <w:t>What to assure—and what not to promise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Assure in the agreement</w:t>
            </w:r>
          </w:p>
        </w:tc>
        <w:tc>
          <w:tcPr>
            <w:tcW w:type="dxa" w:w="4680"/>
            <w:shd w:fill="EDF0FA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1326"/>
                <w:sz w:val="17"/>
              </w:rPr>
              <w:t>Do not guarantee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 standard branded funnel launched within 7 business days after receiving approved content, DNS access and required credentials.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A minimum number of leads, sales or revenue; those also depend on traffic, offer, pricing and client follow-up.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Successful submissions are stored, acknowledged, visible to authorized admins and exportable; incidents receive defined support response.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Uninterrupted third-party service beyond the contracted service level, or legal compliance without customer-specific review.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Client receives its data export on cancellation and data is handled under a written retention/deletion schedule.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8DDE7"/>
              <w:start w:val="single" w:sz="6" w:space="0" w:color="D8DDE7"/>
              <w:bottom w:val="single" w:sz="6" w:space="0" w:color="D8DDE7"/>
              <w:end w:val="single" w:sz="6" w:space="0" w:color="D8DDE7"/>
              <w:insideH w:val="single" w:sz="6" w:space="0" w:color="D8DDE7"/>
              <w:insideV w:val="single" w:sz="6" w:space="0" w:color="D8DDE7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172033"/>
                <w:sz w:val="17"/>
              </w:rPr>
              <w:t>Profit calculations based on unverified figures or revenue that cannot be attributed to the platform.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  <w:t xml:space="preserve"> </w:t>
      </w:r>
    </w:p>
    <w:p>
      <w:pPr>
        <w:spacing w:after="0"/>
      </w:pPr>
      <w:r>
        <w:rPr>
          <w:rFonts w:ascii="Calibri" w:hAnsi="Calibri" w:eastAsia="Calibri"/>
          <w:b/>
          <w:color w:val="172033"/>
        </w:rPr>
        <w:t>Immediate decision:</w:t>
      </w:r>
      <w:r>
        <w:rPr>
          <w:rFonts w:ascii="Calibri" w:hAnsi="Calibri" w:eastAsia="Calibri"/>
          <w:i w:val="0"/>
          <w:color w:val="172033"/>
        </w:rPr>
        <w:t xml:space="preserve"> approve the working brand, pricing formula, VACP definition and first niche; then close two paid pilots before broad launch.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000"/>
      <w:gridCol w:w="2360"/>
    </w:tblGrid>
    <w:tr>
      <w:tc>
        <w:tcPr>
          <w:tcW w:type="dxa" w:w="7000"/>
          <w:tcMar>
            <w:top w:w="40" w:type="dxa"/>
            <w:start w:w="0" w:type="dxa"/>
            <w:bottom w:w="0" w:type="dxa"/>
            <w:end w:w="0" w:type="dxa"/>
          </w:tcMar>
          <w:tcBorders>
            <w:top w:val="single" w:sz="0" w:space="0" w:color="FFFFFF"/>
            <w:start w:val="single" w:sz="0" w:space="0" w:color="FFFFFF"/>
            <w:bottom w:val="single" w:sz="0" w:space="0" w:color="FFFFFF"/>
            <w:end w:val="single" w:sz="0" w:space="0" w:color="FFFFFF"/>
            <w:insideH w:val="single" w:sz="0" w:space="0" w:color="FFFFFF"/>
            <w:insideV w:val="single" w:sz="0" w:space="0" w:color="FFFFFF"/>
          </w:tcBorders>
          <w:vAlign w:val="center"/>
        </w:tcPr>
        <w:p>
          <w:pPr>
            <w:spacing w:after="0"/>
          </w:pPr>
          <w:r>
            <w:rPr>
              <w:rFonts w:ascii="Calibri" w:hAnsi="Calibri" w:eastAsia="Calibri"/>
              <w:color w:val="778196"/>
              <w:sz w:val="17"/>
            </w:rPr>
            <w:t>One Dream Group  |  Confidential working brief  |  3 August 2026</w:t>
          </w:r>
        </w:p>
      </w:tc>
      <w:tc>
        <w:tcPr>
          <w:tcW w:type="dxa" w:w="2360"/>
          <w:tcMar>
            <w:top w:w="40" w:type="dxa"/>
            <w:start w:w="0" w:type="dxa"/>
            <w:bottom w:w="0" w:type="dxa"/>
            <w:end w:w="0" w:type="dxa"/>
          </w:tcMar>
          <w:tcBorders>
            <w:top w:val="single" w:sz="0" w:space="0" w:color="FFFFFF"/>
            <w:start w:val="single" w:sz="0" w:space="0" w:color="FFFFFF"/>
            <w:bottom w:val="single" w:sz="0" w:space="0" w:color="FFFFFF"/>
            <w:end w:val="single" w:sz="0" w:space="0" w:color="FFFFFF"/>
            <w:insideH w:val="single" w:sz="0" w:space="0" w:color="FFFFFF"/>
            <w:insideV w:val="single" w:sz="0" w:space="0" w:color="FFFFFF"/>
          </w:tcBorders>
          <w:vAlign w:val="center"/>
        </w:tcPr>
        <w:p>
          <w:pPr>
            <w:spacing w:after="0"/>
            <w:jc w:val="right"/>
          </w:pPr>
          <w:r>
            <w:rPr>
              <w:rFonts w:ascii="Calibri" w:hAnsi="Calibri" w:eastAsia="Calibri"/>
              <w:color w:val="778196"/>
              <w:sz w:val="18"/>
            </w:rPr>
            <w:t xml:space="preserve">Page </w:t>
          </w:r>
          <w:fldSimple w:instr="PAGE">
            <w:r>
              <w:rPr>
                <w:color w:val="778196"/>
                <w:sz w:val="18"/>
              </w:rPr>
              <w:t>1</w:t>
            </w:r>
          </w:fldSimple>
          <w:r>
            <w:rPr>
              <w:rFonts w:ascii="Calibri" w:hAnsi="Calibri" w:eastAsia="Calibri"/>
              <w:color w:val="778196"/>
              <w:sz w:val="18"/>
            </w:rPr>
            <w:t xml:space="preserve"> of 5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  <w:r>
      <w:rPr>
        <w:rFonts w:ascii="Calibri" w:hAnsi="Calibri" w:eastAsia="Calibri"/>
        <w:b/>
        <w:color w:val="B68432"/>
        <w:sz w:val="17"/>
      </w:rPr>
      <w:t>DREAMLEAD OS</w:t>
    </w:r>
    <w:r>
      <w:rPr>
        <w:rFonts w:ascii="Calibri" w:hAnsi="Calibri" w:eastAsia="Calibri"/>
        <w:color w:val="778196"/>
        <w:sz w:val="17"/>
      </w:rPr>
      <w:t xml:space="preserve">  /  COMMERCIAL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4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40" w:line="28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78" w:lineRule="auto"/>
    </w:pPr>
    <w:rPr>
      <w:rFonts w:ascii="Calibri" w:hAnsi="Calibri" w:eastAsia="Calibri"/>
      <w:b w:val="0"/>
      <w:i w:val="0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048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52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048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52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0813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i w:val="0"/>
      <w:color w:val="0813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 w:eastAsia="Calibri"/>
      <w:b w:val="0"/>
      <w:i w:val="0"/>
      <w:iCs/>
      <w:color w:val="566176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vercel.com/pricing" TargetMode="External"/><Relationship Id="rId13" Type="http://schemas.openxmlformats.org/officeDocument/2006/relationships/hyperlink" Target="https://supabase.com/pricing" TargetMode="External"/><Relationship Id="rId14" Type="http://schemas.openxmlformats.org/officeDocument/2006/relationships/hyperlink" Target="https://resend.com/docs/knowledge-base/what-is-resend-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DreamLead OS: Brand, Subscription and Go-to-Market Strategy</dc:title>
  <dc:subject>Commercial productization strategy for One Dream Group's lead capture and conversion platform</dc:subject>
  <dc:creator>One Dream Group</dc:creator>
  <cp:keywords>lead capture, CRM, subscription, revenue share, Resend, Supabase, Vercel</cp:keywords>
  <dc:description>Prepared from the current One Dream Cup product build and vendor pricing checked 3 August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