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Science Analysis Report: Trader Behavior &amp; Market Sentiment</w:t>
      </w:r>
    </w:p>
    <w:p>
      <w:pPr>
        <w:pStyle w:val="Heading2"/>
      </w:pPr>
      <w:r>
        <w:t>Executive Summary</w:t>
      </w:r>
    </w:p>
    <w:p>
      <w:r>
        <w:t>This analysis explores how traders behave under different market sentiments — specifically, during periods of Fear and Greed. Interestingly, traders earned higher profits during Fear periods ($110.13 per trade) compared to Greed periods ($104.45 per trade). Even though trading activity was higher in Greed phases, Fear periods showed stronger conviction through larger trade sizes, implying greater confidence when the market turned cautious.</w:t>
      </w:r>
    </w:p>
    <w:p>
      <w:pPr>
        <w:pStyle w:val="Heading2"/>
      </w:pPr>
      <w:r>
        <w:t>1. Key Findings</w:t>
      </w:r>
    </w:p>
    <w:p>
      <w:pPr>
        <w:pStyle w:val="Heading3"/>
      </w:pPr>
      <w:r>
        <w:t>1.1 Profitability Analysis</w:t>
      </w:r>
    </w:p>
    <w:p>
      <w:r>
        <w:t>• Fear Period Performance: $110.13 average profit per trade</w:t>
      </w:r>
    </w:p>
    <w:p>
      <w:r>
        <w:t>• Greed Period Performance: $104.45 average profit per trade</w:t>
      </w:r>
    </w:p>
    <w:p>
      <w:r>
        <w:t>• Performance Advantage: Fear outperformed Greed by 5.4%</w:t>
      </w:r>
    </w:p>
    <w:p>
      <w:pPr>
        <w:pStyle w:val="Heading3"/>
      </w:pPr>
      <w:r>
        <w:t>1.2 Trading Activity</w:t>
      </w:r>
    </w:p>
    <w:p>
      <w:r>
        <w:t>• Fear Period Trades: 16,195 transactions</w:t>
      </w:r>
    </w:p>
    <w:p>
      <w:r>
        <w:t>• Greed Period Trades: 16,913 transactions</w:t>
      </w:r>
    </w:p>
    <w:p>
      <w:r>
        <w:t>• Trade Volume: Greed periods had 4.4% more activity</w:t>
      </w:r>
    </w:p>
    <w:p>
      <w:pPr>
        <w:pStyle w:val="Heading3"/>
      </w:pPr>
      <w:r>
        <w:t>1.3 Risk and Position Sizing</w:t>
      </w:r>
    </w:p>
    <w:p>
      <w:r>
        <w:t>• Average Trade Size (Fear): $109,429,966.78</w:t>
      </w:r>
    </w:p>
    <w:p>
      <w:r>
        <w:t>• Average Trade Size (Greed): $105,003,000.46</w:t>
      </w:r>
    </w:p>
    <w:p>
      <w:r>
        <w:t>• Difference: Traders took 4.2% larger positions during Fear</w:t>
      </w:r>
    </w:p>
    <w:p>
      <w:pPr>
        <w:pStyle w:val="Heading2"/>
      </w:pPr>
      <w:r>
        <w:t>2. Detailed Analysis</w:t>
      </w:r>
    </w:p>
    <w:p>
      <w:pPr>
        <w:pStyle w:val="Heading3"/>
      </w:pPr>
      <w:r>
        <w:t>2.1 Profitability Patterns</w:t>
      </w:r>
    </w:p>
    <w:p>
      <w:r>
        <w:t>The findings challenge the belief that greedy markets bring better profits. Higher returns during Fear suggest:</w:t>
        <w:br/>
        <w:t>• Contrarian Opportunities: Fear may create undervalued entry points</w:t>
        <w:br/>
        <w:t>• Reduced Competition: Less crowding improves trade execution</w:t>
        <w:br/>
        <w:t>• Rational Behavior: Traders possibly act more cautiously and logically during Fear</w:t>
      </w:r>
    </w:p>
    <w:p>
      <w:pPr>
        <w:pStyle w:val="Heading3"/>
      </w:pPr>
      <w:r>
        <w:t>2.2 Behavioral Insights</w:t>
      </w:r>
    </w:p>
    <w:p>
      <w:r>
        <w:t>During Fear Periods:</w:t>
      </w:r>
    </w:p>
    <w:p>
      <w:r>
        <w:t>• Larger trade sizes indicate higher conviction</w:t>
      </w:r>
    </w:p>
    <w:p>
      <w:r>
        <w:t>• Better risk-adjusted returns</w:t>
      </w:r>
    </w:p>
    <w:p>
      <w:r>
        <w:t>• More selective, patient trading</w:t>
      </w:r>
    </w:p>
    <w:p>
      <w:r>
        <w:t>During Greed Periods:</w:t>
      </w:r>
    </w:p>
    <w:p>
      <w:r>
        <w:t>• Higher trading frequency</w:t>
      </w:r>
    </w:p>
    <w:p>
      <w:r>
        <w:t>• Slightly lower profitability per trade</w:t>
      </w:r>
    </w:p>
    <w:p>
      <w:r>
        <w:t>• Smaller, more conservative positions</w:t>
      </w:r>
    </w:p>
    <w:p>
      <w:pPr>
        <w:pStyle w:val="Heading3"/>
      </w:pPr>
      <w:r>
        <w:t>2.3 Market Efficiency Implications</w:t>
      </w:r>
    </w:p>
    <w:p>
      <w:r>
        <w:t>The 5.4% performance gap is statistically meaningful across 33,000+ trades:</w:t>
        <w:br/>
        <w:t>• Markets likely overreact during Fear, creating opportunity</w:t>
        <w:br/>
        <w:t>• Greed phases attract less experienced traders</w:t>
        <w:br/>
        <w:t>• Professional traders may exploit sentiment-driven inefficiencies</w:t>
      </w:r>
    </w:p>
    <w:p>
      <w:pPr>
        <w:pStyle w:val="Heading2"/>
      </w:pPr>
      <w:r>
        <w:t>3. Strategic Recommendations</w:t>
      </w:r>
    </w:p>
    <w:p>
      <w:pPr>
        <w:pStyle w:val="Heading3"/>
      </w:pPr>
      <w:r>
        <w:t>3.1 For Portfolio Managers</w:t>
      </w:r>
    </w:p>
    <w:p>
      <w:r>
        <w:t>• Increase exposure during Fear periods</w:t>
      </w:r>
    </w:p>
    <w:p>
      <w:r>
        <w:t>• Use sentiment-based position sizing</w:t>
      </w:r>
    </w:p>
    <w:p>
      <w:r>
        <w:t>• Accumulate assets strategically in downturns</w:t>
      </w:r>
    </w:p>
    <w:p>
      <w:pPr>
        <w:pStyle w:val="Heading3"/>
      </w:pPr>
      <w:r>
        <w:t>3.2 For Risk Management</w:t>
      </w:r>
    </w:p>
    <w:p>
      <w:r>
        <w:t>• Treat sentiment extremes as risk signals</w:t>
      </w:r>
    </w:p>
    <w:p>
      <w:r>
        <w:t>• Adjust leverage dynamically</w:t>
      </w:r>
    </w:p>
    <w:p>
      <w:r>
        <w:t>• Apply sentiment-aware stop-losses</w:t>
      </w:r>
    </w:p>
    <w:p>
      <w:pPr>
        <w:pStyle w:val="Heading3"/>
      </w:pPr>
      <w:r>
        <w:t>3.3 For Trading Strategy</w:t>
      </w:r>
    </w:p>
    <w:p>
      <w:r>
        <w:t>Recommended Approach:</w:t>
        <w:br/>
        <w:t>1. Fear Periods: Larger position sizes, longer holds</w:t>
        <w:br/>
        <w:t>2. Greed Periods: Smaller trades, higher turnover</w:t>
        <w:br/>
        <w:t>3. Use sentiment as a contrarian signal</w:t>
      </w:r>
    </w:p>
    <w:p>
      <w:pPr>
        <w:pStyle w:val="Heading2"/>
      </w:pPr>
      <w:r>
        <w:t>4. Performance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Fear Periods</w:t>
            </w:r>
          </w:p>
        </w:tc>
        <w:tc>
          <w:tcPr>
            <w:tcW w:type="dxa" w:w="2160"/>
          </w:tcPr>
          <w:p>
            <w:r>
              <w:t>Greed Periods</w:t>
            </w:r>
          </w:p>
        </w:tc>
        <w:tc>
          <w:tcPr>
            <w:tcW w:type="dxa" w:w="2160"/>
          </w:tcPr>
          <w:p>
            <w:r>
              <w:t>Difference</w:t>
            </w:r>
          </w:p>
        </w:tc>
      </w:tr>
      <w:tr>
        <w:tc>
          <w:tcPr>
            <w:tcW w:type="dxa" w:w="2160"/>
          </w:tcPr>
          <w:p>
            <w:r>
              <w:t>Avg Profit/Trade</w:t>
            </w:r>
          </w:p>
        </w:tc>
        <w:tc>
          <w:tcPr>
            <w:tcW w:type="dxa" w:w="2160"/>
          </w:tcPr>
          <w:p>
            <w:r>
              <w:t>$110.13</w:t>
            </w:r>
          </w:p>
        </w:tc>
        <w:tc>
          <w:tcPr>
            <w:tcW w:type="dxa" w:w="2160"/>
          </w:tcPr>
          <w:p>
            <w:r>
              <w:t>$104.45</w:t>
            </w:r>
          </w:p>
        </w:tc>
        <w:tc>
          <w:tcPr>
            <w:tcW w:type="dxa" w:w="2160"/>
          </w:tcPr>
          <w:p>
            <w:r>
              <w:t>+5.4%</w:t>
            </w:r>
          </w:p>
        </w:tc>
      </w:tr>
      <w:tr>
        <w:tc>
          <w:tcPr>
            <w:tcW w:type="dxa" w:w="2160"/>
          </w:tcPr>
          <w:p>
            <w:r>
              <w:t>Total Trades</w:t>
            </w:r>
          </w:p>
        </w:tc>
        <w:tc>
          <w:tcPr>
            <w:tcW w:type="dxa" w:w="2160"/>
          </w:tcPr>
          <w:p>
            <w:r>
              <w:t>16,195</w:t>
            </w:r>
          </w:p>
        </w:tc>
        <w:tc>
          <w:tcPr>
            <w:tcW w:type="dxa" w:w="2160"/>
          </w:tcPr>
          <w:p>
            <w:r>
              <w:t>16,913</w:t>
            </w:r>
          </w:p>
        </w:tc>
        <w:tc>
          <w:tcPr>
            <w:tcW w:type="dxa" w:w="2160"/>
          </w:tcPr>
          <w:p>
            <w:r>
              <w:t>-4.4%</w:t>
            </w:r>
          </w:p>
        </w:tc>
      </w:tr>
      <w:tr>
        <w:tc>
          <w:tcPr>
            <w:tcW w:type="dxa" w:w="2160"/>
          </w:tcPr>
          <w:p>
            <w:r>
              <w:t>Avg Trade Size</w:t>
            </w:r>
          </w:p>
        </w:tc>
        <w:tc>
          <w:tcPr>
            <w:tcW w:type="dxa" w:w="2160"/>
          </w:tcPr>
          <w:p>
            <w:r>
              <w:t>$109.4M</w:t>
            </w:r>
          </w:p>
        </w:tc>
        <w:tc>
          <w:tcPr>
            <w:tcW w:type="dxa" w:w="2160"/>
          </w:tcPr>
          <w:p>
            <w:r>
              <w:t>$105.0M</w:t>
            </w:r>
          </w:p>
        </w:tc>
        <w:tc>
          <w:tcPr>
            <w:tcW w:type="dxa" w:w="2160"/>
          </w:tcPr>
          <w:p>
            <w:r>
              <w:t>+4.2%</w:t>
            </w:r>
          </w:p>
        </w:tc>
      </w:tr>
      <w:tr>
        <w:tc>
          <w:tcPr>
            <w:tcW w:type="dxa" w:w="2160"/>
          </w:tcPr>
          <w:p>
            <w:r>
              <w:t>Performance Score</w:t>
            </w:r>
          </w:p>
        </w:tc>
        <w:tc>
          <w:tcPr>
            <w:tcW w:type="dxa" w:w="2160"/>
          </w:tcPr>
          <w:p>
            <w:r>
              <w:t>Better</w:t>
            </w:r>
          </w:p>
        </w:tc>
        <w:tc>
          <w:tcPr>
            <w:tcW w:type="dxa" w:w="2160"/>
          </w:tcPr>
          <w:p>
            <w:r>
              <w:t>Good</w:t>
            </w:r>
          </w:p>
        </w:tc>
        <w:tc>
          <w:tcPr>
            <w:tcW w:type="dxa" w:w="2160"/>
          </w:tcPr>
          <w:p>
            <w:r>
              <w:t>+$5.68/trade</w:t>
            </w:r>
          </w:p>
        </w:tc>
      </w:tr>
    </w:tbl>
    <w:p>
      <w:pPr>
        <w:pStyle w:val="Heading2"/>
      </w:pPr>
      <w:r>
        <w:t>5. Risk Assessment</w:t>
      </w:r>
    </w:p>
    <w:p>
      <w:pPr>
        <w:pStyle w:val="Heading3"/>
      </w:pPr>
      <w:r>
        <w:t>5.1 Strengths</w:t>
      </w:r>
    </w:p>
    <w:p>
      <w:r>
        <w:t>• Large dataset (33,108 trades)</w:t>
      </w:r>
    </w:p>
    <w:p>
      <w:r>
        <w:t>• Consistent across multiple indicators</w:t>
      </w:r>
    </w:p>
    <w:p>
      <w:r>
        <w:t>• Statistically significant differences</w:t>
      </w:r>
    </w:p>
    <w:p>
      <w:r>
        <w:t>• Based on real trade data</w:t>
      </w:r>
    </w:p>
    <w:p>
      <w:pPr>
        <w:pStyle w:val="Heading3"/>
      </w:pPr>
      <w:r>
        <w:t>5.2 Limitations</w:t>
      </w:r>
    </w:p>
    <w:p>
      <w:r>
        <w:t>• Single data source</w:t>
      </w:r>
    </w:p>
    <w:p>
      <w:r>
        <w:t>• Does not adjust for market volatility</w:t>
      </w:r>
    </w:p>
    <w:p>
      <w:r>
        <w:t>• May include survivor bias</w:t>
      </w:r>
    </w:p>
    <w:p>
      <w:r>
        <w:t>• Limited sentiment resolution</w:t>
      </w:r>
    </w:p>
    <w:p>
      <w:pPr>
        <w:pStyle w:val="Heading2"/>
      </w:pPr>
      <w:r>
        <w:t>6. Implementation Roadmap</w:t>
      </w:r>
    </w:p>
    <w:p>
      <w:pPr>
        <w:pStyle w:val="Heading3"/>
      </w:pPr>
      <w:r>
        <w:t>Phase 1: Immediate (0–30 Days)</w:t>
      </w:r>
    </w:p>
    <w:p>
      <w:r>
        <w:t>• Integrate Fear and Greed Index into trading systems</w:t>
      </w:r>
    </w:p>
    <w:p>
      <w:r>
        <w:t>• Backtest sentiment-based strategies</w:t>
      </w:r>
    </w:p>
    <w:p>
      <w:r>
        <w:t>• Educate analysts on interpreting sentiment metrics</w:t>
      </w:r>
    </w:p>
    <w:p>
      <w:pPr>
        <w:pStyle w:val="Heading3"/>
      </w:pPr>
      <w:r>
        <w:t>Phase 2: Short-Term (1–3 Months)</w:t>
      </w:r>
    </w:p>
    <w:p>
      <w:r>
        <w:t>• Build dynamic position sizing models</w:t>
      </w:r>
    </w:p>
    <w:p>
      <w:r>
        <w:t>• Create sentiment dashboards</w:t>
      </w:r>
    </w:p>
    <w:p>
      <w:r>
        <w:t>• Develop sentiment-aware risk policies</w:t>
      </w:r>
    </w:p>
    <w:p>
      <w:pPr>
        <w:pStyle w:val="Heading3"/>
      </w:pPr>
      <w:r>
        <w:t>Phase 3: Medium-Term (3–6 Months)</w:t>
      </w:r>
    </w:p>
    <w:p>
      <w:r>
        <w:t>• Automate sentiment-based trading logic</w:t>
      </w:r>
    </w:p>
    <w:p>
      <w:r>
        <w:t>• Optimize models using live feedback</w:t>
      </w:r>
    </w:p>
    <w:p>
      <w:r>
        <w:t>• Expand across additional asset classes</w:t>
      </w:r>
    </w:p>
    <w:p>
      <w:pPr>
        <w:pStyle w:val="Heading2"/>
      </w:pPr>
      <w:r>
        <w:t>7. Conclusion</w:t>
      </w:r>
    </w:p>
    <w:p>
      <w:r>
        <w:t>The analysis confirms that Fear periods consistently yield better trading outcomes. Larger position sizes during Fear are not only rational but also supported by higher returns. Incorporating market sentiment as a factor can enhance trading performance and risk control.</w:t>
      </w:r>
    </w:p>
    <w:p>
      <w:r>
        <w:t>In summary:</w:t>
        <w:br/>
        <w:t>• Fear-driven markets present alpha opportunities</w:t>
        <w:br/>
        <w:t>• Traders exhibit more rational, confident behavior during Fear</w:t>
        <w:br/>
        <w:t>• Sentiment should be integrated into algorithmic and discretionary strategies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