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40" w:after="360"/>
      </w:pPr>
      <w:r>
        <w:rPr>
          <w:rFonts w:ascii="Nirmala UI" w:hAnsi="Nirmala UI" w:eastAsia="Nirmala UI"/>
          <w:b/>
          <w:i w:val="0"/>
          <w:color w:val="2563EB"/>
          <w:sz w:val="22"/>
        </w:rPr>
        <w:t>DOOR-TO-DOOR LOGISTICS SOLUTION</w:t>
      </w:r>
    </w:p>
    <w:p>
      <w:pPr>
        <w:spacing w:after="160"/>
      </w:pPr>
      <w:r>
        <w:rPr>
          <w:rFonts w:ascii="Nirmala UI" w:hAnsi="Nirmala UI" w:eastAsia="Nirmala UI"/>
          <w:b/>
          <w:i w:val="0"/>
          <w:color w:val="0B2545"/>
          <w:sz w:val="58"/>
        </w:rPr>
        <w:t>Overseas &amp; International Partner Guide</w:t>
      </w:r>
    </w:p>
    <w:p>
      <w:pPr>
        <w:spacing w:after="440"/>
      </w:pPr>
      <w:r>
        <w:rPr>
          <w:rFonts w:ascii="Nirmala UI" w:hAnsi="Nirmala UI" w:eastAsia="Nirmala UI"/>
          <w:b w:val="0"/>
          <w:i w:val="0"/>
          <w:color w:val="526173"/>
          <w:sz w:val="26"/>
        </w:rPr>
        <w:t>Access, services, workflow, controls and future goals</w:t>
      </w:r>
    </w:p>
    <w:p>
      <w:pPr>
        <w:spacing w:after="360"/>
        <w:pBdr>
          <w:bottom w:val="single" w:sz="14" w:color="2563EB"/>
        </w:pBdr>
      </w:pPr>
    </w:p>
    <w:p>
      <w:pPr>
        <w:spacing w:after="320"/>
      </w:pPr>
      <w:r>
        <w:rPr>
          <w:rFonts w:ascii="Nirmala UI" w:hAnsi="Nirmala UI" w:eastAsia="Nirmala UI"/>
          <w:b/>
          <w:i w:val="0"/>
          <w:color w:val="0B2545"/>
          <w:sz w:val="22"/>
        </w:rPr>
        <w:t>Audience: Overseas / International Partner</w:t>
      </w:r>
    </w:p>
    <w:p>
      <w:pPr>
        <w:spacing w:after="120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Purpose: explain access, services, day-to-day workflow, controls and future goals without overstating integrations.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20"/>
        </w:rPr>
        <w:t>Prepared from the current Laravel codebase and verified project workflows.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1. Registration and access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Accounts are created or approved by authorized administration.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Partner staff use their own controlled login.</w:t>
      </w:r>
    </w:p>
    <w:p>
      <w:pPr>
        <w:pStyle w:val="ListNumber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The overseas workspace shows only assigned partners, hubs, shipments and documents.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2. Services available to this role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Assigned international shipments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Hubs and transit points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Scan-based event updates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Shipment documents and exceptions</w:t>
      </w:r>
    </w:p>
    <w:p>
      <w:pPr>
        <w:spacing w:after="120"/>
      </w:pPr>
      <w:r>
        <w:rPr>
          <w:rFonts w:ascii="Nirmala UI" w:hAnsi="Nirmala UI" w:eastAsia="Nirmala UI"/>
          <w:b/>
          <w:i w:val="0"/>
          <w:color w:val="2563EB"/>
          <w:sz w:val="21"/>
        </w:rPr>
        <w:t>Door-to-door principle: the request remains traceable through pickup, custody handoffs, delivery proof and financial closure.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3. Step-by-step workflow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01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Receive assigned shipment and references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02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Scan at origin hub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03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Update transit events and partner reference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04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Scan at destination hub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05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Handoff to final delivery partner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06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Record delivered or exception status</w:t>
      </w:r>
    </w:p>
    <w:p>
      <w:pPr>
        <w:keepLines/>
        <w:spacing w:after="140"/>
        <w:ind w:left="605" w:hanging="605"/>
      </w:pPr>
      <w:r>
        <w:rPr>
          <w:rFonts w:ascii="Nirmala UI" w:hAnsi="Nirmala UI" w:eastAsia="Nirmala UI"/>
          <w:b/>
          <w:i w:val="0"/>
          <w:color w:val="2563EB"/>
          <w:sz w:val="22"/>
        </w:rPr>
        <w:t>07  —</w:t>
      </w:r>
      <w:r>
        <w:rPr>
          <w:rFonts w:ascii="Nirmala UI" w:hAnsi="Nirmala UI" w:eastAsia="Nirmala UI"/>
          <w:b/>
          <w:i w:val="0"/>
          <w:color w:val="0B2545"/>
          <w:sz w:val="22"/>
        </w:rPr>
        <w:t>Preserve documents and complete event history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4. Operational and security controls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Partner events map to canonical customer tracking events.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Remote area data uses official APIs/data or manual configured fallback.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Live UPS/FedEx/DHL/Aramex/DPD integrations require credentials and contracts.</w:t>
      </w:r>
    </w:p>
    <w:p>
      <w:r/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5. Current status and dependencies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160"/>
        <w:gridCol w:w="4300"/>
      </w:tblGrid>
      <w:tr>
        <w:tc>
          <w:tcPr>
            <w:tcW w:type="dxa" w:w="19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Status</w:t>
            </w:r>
          </w:p>
        </w:tc>
        <w:tc>
          <w:tcPr>
            <w:tcW w:type="dxa" w:w="31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Capability</w:t>
            </w:r>
          </w:p>
        </w:tc>
        <w:tc>
          <w:tcPr>
            <w:tcW w:type="dxa" w:w="4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irmala UI" w:hAnsi="Nirmala UI" w:eastAsia="Nirmala UI"/>
                <w:b/>
                <w:i w:val="0"/>
                <w:color w:val="0B2545"/>
                <w:sz w:val="19"/>
              </w:rPr>
              <w:t>Meaning</w:t>
            </w:r>
          </w:p>
        </w:tc>
      </w:tr>
      <w:tr>
        <w:tc>
          <w:tcPr>
            <w:tcW w:type="dxa" w:w="1900"/>
            <w:shd w:fill="EAF7EE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AVAILABLE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Role dashboard and workflow routes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Use after staging validation with an approved account.</w:t>
            </w:r>
          </w:p>
        </w:tc>
      </w:tr>
      <w:tr>
        <w:tc>
          <w:tcPr>
            <w:tcW w:type="dxa" w:w="1900"/>
            <w:shd w:fill="FFF3D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CONFIGURABLE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Rates, partner data, notifications, surcharge and operational setup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Accuracy depends on current Admin configuration.</w:t>
            </w:r>
          </w:p>
        </w:tc>
      </w:tr>
      <w:tr>
        <w:tc>
          <w:tcPr>
            <w:tcW w:type="dxa" w:w="1900"/>
            <w:shd w:fill="FDECE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/>
                <w:i w:val="0"/>
                <w:color w:val="0B2545"/>
                <w:sz w:val="18"/>
              </w:rPr>
              <w:t>EXTERNAL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Payments, maps, carrier APIs, mail/SMS and partner webhooks</w:t>
            </w:r>
          </w:p>
        </w:tc>
        <w:tc>
          <w:tcPr>
            <w:tcW w:type="dxa" w:w="4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Nirmala UI" w:hAnsi="Nirmala UI" w:eastAsia="Nirmala UI"/>
                <w:b w:val="0"/>
                <w:i w:val="0"/>
                <w:color w:val="0B2545"/>
                <w:sz w:val="18"/>
              </w:rPr>
              <w:t>Requires approved credentials, contracts and environment settings.</w:t>
            </w:r>
          </w:p>
        </w:tc>
      </w:tr>
    </w:tbl>
    <w:p>
      <w:pPr>
        <w:spacing w:after="0"/>
      </w:pP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6. Future goals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Carrier API adapters and webhooks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Automated document and customs readiness checks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SLA, delay and exception analytics</w:t>
      </w:r>
    </w:p>
    <w:p>
      <w:pPr>
        <w:pStyle w:val="Heading1"/>
      </w:pPr>
      <w:r>
        <w:rPr>
          <w:rFonts w:ascii="Nirmala UI" w:hAnsi="Nirmala UI" w:eastAsia="Nirmala UI"/>
          <w:b/>
          <w:i w:val="0"/>
          <w:color w:val="2563EB"/>
          <w:sz w:val="32"/>
        </w:rPr>
        <w:t>7. Safe use checklist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Use your own account and keep the password private.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Confirm the shipment/order reference before any status or money action.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Report wrong address, damage, delay, unavailable recipient or payment mismatch immediately.</w:t>
      </w:r>
    </w:p>
    <w:p>
      <w:pPr>
        <w:pStyle w:val="ListBullet"/>
        <w:spacing w:after="80" w:line="300" w:lineRule="auto"/>
        <w:ind w:left="540" w:hanging="271"/>
      </w:pPr>
      <w:r>
        <w:rPr>
          <w:rFonts w:ascii="Nirmala UI" w:hAnsi="Nirmala UI" w:eastAsia="Nirmala UI"/>
          <w:b w:val="0"/>
          <w:i w:val="0"/>
          <w:color w:val="0B2545"/>
          <w:sz w:val="22"/>
        </w:rPr>
        <w:t>Do not treat planned carrier/API features as active until configuration is verified.</w:t>
      </w:r>
    </w:p>
    <w:p>
      <w:pPr>
        <w:spacing w:after="120"/>
      </w:pPr>
      <w:r>
        <w:rPr>
          <w:rFonts w:ascii="Nirmala UI" w:hAnsi="Nirmala UI" w:eastAsia="Nirmala UI"/>
          <w:b w:val="0"/>
          <w:i/>
          <w:color w:val="526173"/>
          <w:sz w:val="19"/>
        </w:rPr>
        <w:t>Document scope: concise operating guide based on the current repository. It is not a legal contract or carrier SLA.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Nirmala UI" w:hAnsi="Nirmala UI" w:eastAsia="Nirmala UI"/>
        <w:b w:val="0"/>
        <w:i w:val="0"/>
        <w:color w:val="526173"/>
        <w:sz w:val="18"/>
      </w:rPr>
      <w:t>Professional service guide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Nirmala UI" w:hAnsi="Nirmala UI" w:eastAsia="Nirmala UI"/>
        <w:b/>
        <w:i w:val="0"/>
        <w:color w:val="526173"/>
        <w:sz w:val="18"/>
      </w:rPr>
      <w:t>COURIER with NETPACK  |  Overseas / International Partner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Nirmala UI" w:hAnsi="Nirmala UI" w:eastAsia="Nirmala UI"/>
      <w:color w:val="0B2545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irmala UI" w:hAnsi="Nirmala UI" w:eastAsia="Nirmala UI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irmala UI" w:hAnsi="Nirmala UI" w:eastAsia="Nirmala U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