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Project Reference Guide</w:t>
      </w:r>
    </w:p>
    <w:p>
      <w:pPr>
        <w:pStyle w:val="Subtitle"/>
        <w:widowControl/>
      </w:pPr>
      <w:r>
        <w:t>Current implementation and operations</w:t>
      </w:r>
    </w:p>
    <w:p>
      <w:pPr>
        <w:widowControl/>
      </w:pPr>
      <w:r>
        <w:t>This guide describes the repository as it is currently wired. The browser interface uses the versioned evidence-verification API and an NLI model; the article classifier and combined legacy routes remain available as separate backend paths. This distinction matters when explaining results, metrics, setup, and limitations. The root README and older audit/implementation notes include earlier snapshots; where they disagree with current route code, this guide follows the current code.</w:t>
      </w:r>
    </w:p>
    <w:p>
      <w:pPr>
        <w:widowControl/>
      </w:pPr>
      <w:r>
        <w:t>Audience: maintainers, reviewers, students, and project presenters.</w:t>
        <w:br/>
        <w:t>Repository: E:\Fake-News-Misinformation-Intelligent-System.</w:t>
        <w:br/>
        <w:t>Reference checked: 13 October 2026.</w:t>
      </w:r>
    </w:p>
    <w:p>
      <w:pPr>
        <w:pStyle w:val="Heading1"/>
        <w:widowControl/>
      </w:pPr>
      <w:r>
        <w:t>At a glance</w:t>
      </w:r>
    </w:p>
    <w:tbl>
      <w:tblPr>
        <w:tblW w:type="auto" w:w="0"/>
        <w:jc w:val="center"/>
        <w:tblLayout w:type="fixed"/>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997"/>
        <w:gridCol w:w="4997"/>
      </w:tblGrid>
      <w:tr>
        <w:trPr>
          <w:tblHeader w:val="true"/>
          <w:cantSplit/>
        </w:trPr>
        <w:tc>
          <w:tcPr>
            <w:tcW w:type="dxa" w:w="2232"/>
            <w:shd w:fill="23436B"/>
            <w:vAlign w:val="center"/>
            <w:tcMar>
              <w:top w:w="85" w:type="dxa"/>
              <w:start w:w="100" w:type="dxa"/>
              <w:bottom w:w="85" w:type="dxa"/>
              <w:end w:w="100" w:type="dxa"/>
            </w:tcMar>
          </w:tcPr>
          <w:p>
            <w:pPr>
              <w:spacing w:after="20" w:line="240" w:lineRule="auto"/>
            </w:pPr>
            <w:r>
              <w:rPr>
                <w:rFonts w:ascii="Aptos" w:hAnsi="Aptos"/>
                <w:b/>
                <w:color w:val="FFFFFF"/>
                <w:sz w:val="17"/>
              </w:rPr>
              <w:t>Topic</w:t>
            </w:r>
          </w:p>
        </w:tc>
        <w:tc>
          <w:tcPr>
            <w:tcW w:type="dxa" w:w="7560"/>
            <w:shd w:fill="23436B"/>
            <w:vAlign w:val="center"/>
            <w:tcMar>
              <w:top w:w="85" w:type="dxa"/>
              <w:start w:w="100" w:type="dxa"/>
              <w:bottom w:w="85" w:type="dxa"/>
              <w:end w:w="100" w:type="dxa"/>
            </w:tcMar>
          </w:tcPr>
          <w:p>
            <w:pPr>
              <w:spacing w:after="20" w:line="240" w:lineRule="auto"/>
            </w:pPr>
            <w:r>
              <w:rPr>
                <w:rFonts w:ascii="Aptos" w:hAnsi="Aptos"/>
                <w:b/>
                <w:color w:val="FFFFFF"/>
                <w:sz w:val="17"/>
              </w:rPr>
              <w:t>Current implementation</w:t>
            </w:r>
          </w:p>
        </w:tc>
      </w:tr>
      <w:tr>
        <w:trPr>
          <w:cantSplit/>
        </w:trPr>
        <w:tc>
          <w:tcPr>
            <w:tcW w:type="dxa" w:w="2232"/>
            <w:vAlign w:val="center"/>
            <w:tcMar>
              <w:top w:w="85" w:type="dxa"/>
              <w:start w:w="100" w:type="dxa"/>
              <w:bottom w:w="85" w:type="dxa"/>
              <w:end w:w="100" w:type="dxa"/>
            </w:tcMar>
          </w:tcPr>
          <w:p>
            <w:pPr>
              <w:spacing w:after="20" w:line="240" w:lineRule="auto"/>
            </w:pPr>
            <w:r>
              <w:rPr>
                <w:rFonts w:ascii="Aptos" w:hAnsi="Aptos"/>
                <w:color w:val="23272E"/>
                <w:sz w:val="17"/>
              </w:rPr>
              <w:t>Browser application</w:t>
            </w:r>
          </w:p>
        </w:tc>
        <w:tc>
          <w:tcPr>
            <w:tcW w:type="dxa" w:w="7560"/>
            <w:vAlign w:val="center"/>
            <w:tcMar>
              <w:top w:w="85" w:type="dxa"/>
              <w:start w:w="100" w:type="dxa"/>
              <w:bottom w:w="85" w:type="dxa"/>
              <w:end w:w="100" w:type="dxa"/>
            </w:tcMar>
          </w:tcPr>
          <w:p>
            <w:pPr>
              <w:spacing w:after="20" w:line="240" w:lineRule="auto"/>
            </w:pPr>
            <w:r>
              <w:rPr>
                <w:rFonts w:ascii="Aptos" w:hAnsi="Aptos"/>
                <w:color w:val="23272E"/>
                <w:sz w:val="17"/>
              </w:rPr>
              <w:t>Vanilla HTML, CSS, and JavaScript served by Flask from frontend/.</w:t>
            </w:r>
          </w:p>
        </w:tc>
      </w:tr>
      <w:tr>
        <w:trPr>
          <w:cantSplit/>
        </w:trPr>
        <w:tc>
          <w:tcPr>
            <w:tcW w:type="dxa" w:w="2232"/>
            <w:vAlign w:val="center"/>
            <w:tcMar>
              <w:top w:w="85" w:type="dxa"/>
              <w:start w:w="100" w:type="dxa"/>
              <w:bottom w:w="85" w:type="dxa"/>
              <w:end w:w="100" w:type="dxa"/>
            </w:tcMar>
            <w:shd w:fill="F2F6FA"/>
          </w:tcPr>
          <w:p>
            <w:pPr>
              <w:spacing w:after="20" w:line="240" w:lineRule="auto"/>
            </w:pPr>
            <w:r>
              <w:rPr>
                <w:rFonts w:ascii="Aptos" w:hAnsi="Aptos"/>
                <w:color w:val="23272E"/>
                <w:sz w:val="17"/>
              </w:rPr>
              <w:t>Browser verification path</w:t>
            </w:r>
          </w:p>
        </w:tc>
        <w:tc>
          <w:tcPr>
            <w:tcW w:type="dxa" w:w="7560"/>
            <w:vAlign w:val="center"/>
            <w:tcMar>
              <w:top w:w="85" w:type="dxa"/>
              <w:start w:w="100" w:type="dxa"/>
              <w:bottom w:w="85" w:type="dxa"/>
              <w:end w:w="100" w:type="dxa"/>
            </w:tcMar>
            <w:shd w:fill="F2F6FA"/>
          </w:tcPr>
          <w:p>
            <w:pPr>
              <w:spacing w:after="20" w:line="240" w:lineRule="auto"/>
            </w:pPr>
            <w:r>
              <w:rPr>
                <w:rFonts w:ascii="Aptos" w:hAnsi="Aptos"/>
                <w:color w:val="23272E"/>
                <w:sz w:val="17"/>
              </w:rPr>
              <w:t>POST /api/v1/verify for text; POST /api/v1/verify/url for a web address.</w:t>
            </w:r>
          </w:p>
        </w:tc>
      </w:tr>
      <w:tr>
        <w:trPr>
          <w:cantSplit/>
        </w:trPr>
        <w:tc>
          <w:tcPr>
            <w:tcW w:type="dxa" w:w="2232"/>
            <w:vAlign w:val="center"/>
            <w:tcMar>
              <w:top w:w="85" w:type="dxa"/>
              <w:start w:w="100" w:type="dxa"/>
              <w:bottom w:w="85" w:type="dxa"/>
              <w:end w:w="100" w:type="dxa"/>
            </w:tcMar>
          </w:tcPr>
          <w:p>
            <w:pPr>
              <w:spacing w:after="20" w:line="240" w:lineRule="auto"/>
            </w:pPr>
            <w:r>
              <w:rPr>
                <w:rFonts w:ascii="Aptos" w:hAnsi="Aptos"/>
                <w:color w:val="23272E"/>
                <w:sz w:val="17"/>
              </w:rPr>
              <w:t>Evidence assessment</w:t>
            </w:r>
          </w:p>
        </w:tc>
        <w:tc>
          <w:tcPr>
            <w:tcW w:type="dxa" w:w="7560"/>
            <w:vAlign w:val="center"/>
            <w:tcMar>
              <w:top w:w="85" w:type="dxa"/>
              <w:start w:w="100" w:type="dxa"/>
              <w:bottom w:w="85" w:type="dxa"/>
              <w:end w:w="100" w:type="dxa"/>
            </w:tcMar>
          </w:tcPr>
          <w:p>
            <w:pPr>
              <w:spacing w:after="20" w:line="240" w:lineRule="auto"/>
            </w:pPr>
            <w:r>
              <w:rPr>
                <w:rFonts w:ascii="Aptos" w:hAnsi="Aptos"/>
                <w:color w:val="23272E"/>
                <w:sz w:val="17"/>
              </w:rPr>
              <w:t>Wikipedia and configured evidence adapters; passage stance from DeBERTa MNLI/FEVER/ANLI; source-capped aggregation.</w:t>
            </w:r>
          </w:p>
        </w:tc>
      </w:tr>
      <w:tr>
        <w:trPr>
          <w:cantSplit/>
        </w:trPr>
        <w:tc>
          <w:tcPr>
            <w:tcW w:type="dxa" w:w="2232"/>
            <w:vAlign w:val="center"/>
            <w:tcMar>
              <w:top w:w="85" w:type="dxa"/>
              <w:start w:w="100" w:type="dxa"/>
              <w:bottom w:w="85" w:type="dxa"/>
              <w:end w:w="100" w:type="dxa"/>
            </w:tcMar>
            <w:shd w:fill="F2F6FA"/>
          </w:tcPr>
          <w:p>
            <w:pPr>
              <w:spacing w:after="20" w:line="240" w:lineRule="auto"/>
            </w:pPr>
            <w:r>
              <w:rPr>
                <w:rFonts w:ascii="Aptos" w:hAnsi="Aptos"/>
                <w:color w:val="23272E"/>
                <w:sz w:val="17"/>
              </w:rPr>
              <w:t>Article classifier</w:t>
            </w:r>
          </w:p>
        </w:tc>
        <w:tc>
          <w:tcPr>
            <w:tcW w:type="dxa" w:w="7560"/>
            <w:vAlign w:val="center"/>
            <w:tcMar>
              <w:top w:w="85" w:type="dxa"/>
              <w:start w:w="100" w:type="dxa"/>
              <w:bottom w:w="85" w:type="dxa"/>
              <w:end w:w="100" w:type="dxa"/>
            </w:tcMar>
            <w:shd w:fill="F2F6FA"/>
          </w:tcPr>
          <w:p>
            <w:pPr>
              <w:spacing w:after="20" w:line="240" w:lineRule="auto"/>
            </w:pPr>
            <w:r>
              <w:rPr>
                <w:rFonts w:ascii="Aptos" w:hAnsi="Aptos"/>
                <w:color w:val="23272E"/>
                <w:sz w:val="17"/>
              </w:rPr>
              <w:t>Separate legacy Flask route using word/character TF-IDF and LinearSVC; not called by the current browser UI.</w:t>
            </w:r>
          </w:p>
        </w:tc>
      </w:tr>
      <w:tr>
        <w:trPr>
          <w:cantSplit/>
        </w:trPr>
        <w:tc>
          <w:tcPr>
            <w:tcW w:type="dxa" w:w="2232"/>
            <w:vAlign w:val="center"/>
            <w:tcMar>
              <w:top w:w="85" w:type="dxa"/>
              <w:start w:w="100" w:type="dxa"/>
              <w:bottom w:w="85" w:type="dxa"/>
              <w:end w:w="100" w:type="dxa"/>
            </w:tcMar>
          </w:tcPr>
          <w:p>
            <w:pPr>
              <w:spacing w:after="20" w:line="240" w:lineRule="auto"/>
            </w:pPr>
            <w:r>
              <w:rPr>
                <w:rFonts w:ascii="Aptos" w:hAnsi="Aptos"/>
                <w:color w:val="23272E"/>
                <w:sz w:val="17"/>
              </w:rPr>
              <w:t>Local server</w:t>
            </w:r>
          </w:p>
        </w:tc>
        <w:tc>
          <w:tcPr>
            <w:tcW w:type="dxa" w:w="7560"/>
            <w:vAlign w:val="center"/>
            <w:tcMar>
              <w:top w:w="85" w:type="dxa"/>
              <w:start w:w="100" w:type="dxa"/>
              <w:bottom w:w="85" w:type="dxa"/>
              <w:end w:w="100" w:type="dxa"/>
            </w:tcMar>
          </w:tcPr>
          <w:p>
            <w:pPr>
              <w:spacing w:after="20" w:line="240" w:lineRule="auto"/>
            </w:pPr>
            <w:r>
              <w:rPr>
                <w:rFonts w:ascii="Aptos" w:hAnsi="Aptos"/>
                <w:color w:val="23272E"/>
                <w:sz w:val="17"/>
              </w:rPr>
              <w:t>Waitress through start_flask_server.bat at http://127.0.0.1:5000.</w:t>
            </w:r>
          </w:p>
        </w:tc>
      </w:tr>
      <w:tr>
        <w:trPr>
          <w:cantSplit/>
        </w:trPr>
        <w:tc>
          <w:tcPr>
            <w:tcW w:type="dxa" w:w="2232"/>
            <w:vAlign w:val="center"/>
            <w:tcMar>
              <w:top w:w="85" w:type="dxa"/>
              <w:start w:w="100" w:type="dxa"/>
              <w:bottom w:w="85" w:type="dxa"/>
              <w:end w:w="100" w:type="dxa"/>
            </w:tcMar>
            <w:shd w:fill="F2F6FA"/>
          </w:tcPr>
          <w:p>
            <w:pPr>
              <w:spacing w:after="20" w:line="240" w:lineRule="auto"/>
            </w:pPr>
            <w:r>
              <w:rPr>
                <w:rFonts w:ascii="Aptos" w:hAnsi="Aptos"/>
                <w:color w:val="23272E"/>
                <w:sz w:val="17"/>
              </w:rPr>
              <w:t>Main interpretation limit</w:t>
            </w:r>
          </w:p>
        </w:tc>
        <w:tc>
          <w:tcPr>
            <w:tcW w:type="dxa" w:w="7560"/>
            <w:vAlign w:val="center"/>
            <w:tcMar>
              <w:top w:w="85" w:type="dxa"/>
              <w:start w:w="100" w:type="dxa"/>
              <w:bottom w:w="85" w:type="dxa"/>
              <w:end w:w="100" w:type="dxa"/>
            </w:tcMar>
            <w:shd w:fill="F2F6FA"/>
          </w:tcPr>
          <w:p>
            <w:pPr>
              <w:spacing w:after="20" w:line="240" w:lineRule="auto"/>
            </w:pPr>
            <w:r>
              <w:rPr>
                <w:rFonts w:ascii="Aptos" w:hAnsi="Aptos"/>
                <w:color w:val="23272E"/>
                <w:sz w:val="17"/>
              </w:rPr>
              <w:t>NLI/evidence scores are uncalibrated signals. Insufficient evidence does not mean false.</w:t>
            </w:r>
          </w:p>
        </w:tc>
      </w:tr>
    </w:tbl>
    <w:p>
      <w:pPr>
        <w:widowControl/>
      </w:pPr>
    </w:p>
    <w:p>
      <w:pPr>
        <w:pStyle w:val="Heading1"/>
        <w:widowControl/>
      </w:pPr>
      <w:r>
        <w:t>Contents</w:t>
      </w:r>
    </w:p>
    <w:p>
      <w:pPr>
        <w:widowControl/>
      </w:pPr>
      <w:r>
        <w:t>1. Purpose and system boundaries   2. Browser workflow   3. Evidence pipeline and verdicts   4. API reference   5. Data and model assets   6. Setup and operation   7. Providers and configuration   8. Evaluation and testing   9. Security, privacy, and deployment   10. Limitations and maintenance</w:t>
      </w:r>
    </w:p>
    <w:p>
      <w:pPr>
        <w:pStyle w:val="Heading1"/>
        <w:widowControl/>
      </w:pPr>
      <w:r>
        <w:t>1. Purpose and system boundaries</w:t>
      </w:r>
    </w:p>
    <w:p>
      <w:pPr>
        <w:widowControl/>
      </w:pPr>
      <w:r>
        <w:t>The project is a local research prototype for checking factual claims against retrieved material. Its current browser experience focuses on evidence assessment. It returns SUPPORTS, REFUTES, or INSUFFICIENT based on retrieved passages, an NLI model, source weighting, and aggregation rules.</w:t>
      </w:r>
    </w:p>
    <w:p>
      <w:pPr>
        <w:widowControl/>
      </w:pPr>
      <w:r>
        <w:t>The project also contains an article-style REAL/FAKE classifier. That classifier is a distinct older path: /api/analyze runs it for longer text, and /api/check combines its output with a separate heuristic evidence pipeline. The browser in frontend/app.js does not call either route. Do not describe the browser result as the article classifier’s prediction or use its metrics as evidence strength.</w:t>
      </w:r>
    </w:p>
    <w:p>
      <w:pPr>
        <w:widowControl/>
      </w:pPr>
      <w:r>
        <w:t>The output is an aid for investigation, not an authoritative fact-check. Users should review the cited passage, source, dates, and context. The service can miss relevant evidence or return insufficient evidence even when a claim is true.</w:t>
      </w:r>
    </w:p>
    <w:p>
      <w:pPr>
        <w:pStyle w:val="Heading1"/>
        <w:widowControl/>
      </w:pPr>
      <w:r>
        <w:t>2. Browser workflow</w:t>
      </w:r>
    </w:p>
    <w:p>
      <w:pPr>
        <w:widowControl/>
      </w:pPr>
      <w:r>
        <w:t>Flask serves frontend/index.html at /. The page lets a user submit pasted article text or a claim, or submit an HTTP(S) article URL. It shows a loading state, a three-state verdict, evidence strength, evidence passages and titles, provider statuses, support/refute aggregation signals, and extracted claim entities. Although source URLs are returned by the API and a URL-safety helper exists in the UI code, the current result renderer does not connect that helper or display clickable source links. Returned passage text is inserted as DOM text rather than HTML.</w:t>
      </w:r>
    </w:p>
    <w:p>
      <w:pPr>
        <w:pStyle w:val="Heading2"/>
        <w:widowControl/>
      </w:pPr>
      <w:r>
        <w:t>Text input</w:t>
      </w:r>
    </w:p>
    <w:p>
      <w:pPr>
        <w:widowControl/>
      </w:pPr>
      <w:r>
        <w:t>The browser posts the full text as the claim to /api/v1/verify with max_evidence=10 and recent_window_hours=4. The UI textarea permits up to 20,000 characters, while VerifyRequest currently limits claim text to 1,000 characters. Text between 1,001 and 20,000 characters can therefore pass the browser control and be rejected by the API. Long-article multi-claim analysis is not implemented in this browser flow; the dedicated /api/v1/verify/article route is separate.</w:t>
      </w:r>
    </w:p>
    <w:p>
      <w:pPr>
        <w:pStyle w:val="Heading2"/>
        <w:widowControl/>
      </w:pPr>
      <w:r>
        <w:t>URL input</w:t>
      </w:r>
    </w:p>
    <w:p>
      <w:pPr>
        <w:widowControl/>
      </w:pPr>
      <w:r>
        <w:t>For a URL, the browser calls /api/v1/verify/url. The backend checks for HTTP or HTTPS, rejects localhost/private addresses, disables redirects, limits the response body to 2 MB, extracts readable HTML text, and verifies only the first 1,000 characters. This is single-claim evidence checking, not full-article classification.</w:t>
      </w:r>
    </w:p>
    <w:p>
      <w:pPr>
        <w:pStyle w:val="Heading2"/>
        <w:widowControl/>
      </w:pPr>
      <w:r>
        <w:t>Returned result</w:t>
      </w:r>
    </w:p>
    <w:p>
      <w:pPr>
        <w:widowControl/>
      </w:pPr>
      <w:r>
        <w:t>The evidence-strength ring reflects max(support_score, refute_score) from aggregation. It is not calibrated confidence or a probability of truth. Evidence items show NLI stance, passage, and title. The page displays provider status and reports that NLI scores are uncalibrated. The page currently tells users to review linked sources, but the renderer does not provide clickable evidence-source links.</w:t>
      </w:r>
    </w:p>
    <w:p>
      <w:pPr>
        <w:pStyle w:val="Heading1"/>
        <w:widowControl/>
      </w:pPr>
      <w:r>
        <w:t>3. Evidence pipeline and verdicts</w:t>
      </w:r>
    </w:p>
    <w:p>
      <w:pPr>
        <w:pStyle w:val="ListNumber"/>
        <w:widowControl/>
      </w:pPr>
      <w:r>
        <w:t>Normalize the submitted claim and construct deterministic claim-focused query variants using the claim’s terms, entities, and quantities.</w:t>
      </w:r>
    </w:p>
    <w:p>
      <w:pPr>
        <w:pStyle w:val="ListNumber"/>
        <w:widowControl/>
      </w:pPr>
      <w:r>
        <w:t>Query enabled adapters. Retrieval records success, skip, or error status by provider. Provider failures are not counted as refuting evidence.</w:t>
      </w:r>
    </w:p>
    <w:p>
      <w:pPr>
        <w:pStyle w:val="ListNumber"/>
        <w:widowControl/>
      </w:pPr>
      <w:r>
        <w:t>Deduplicate returned items by URL. The service filters timestamped items to the requested recency window; undated reference sources remain eligible.</w:t>
      </w:r>
    </w:p>
    <w:p>
      <w:pPr>
        <w:pStyle w:val="ListNumber"/>
        <w:widowControl/>
      </w:pPr>
      <w:r>
        <w:t>Score source credibility, then assess each passage against the claim with MoritzLaurer/DeBERTa-v3-base-mnli-fever-anli. The largest entailment, neutral, or contradiction score determines stance. Exact project-dataset labels are preserved when present.</w:t>
      </w:r>
    </w:p>
    <w:p>
      <w:pPr>
        <w:pStyle w:val="ListNumber"/>
        <w:widowControl/>
      </w:pPr>
      <w:r>
        <w:t>Aggregate at most one item per source domain using weighted noisy-OR support and refute scores. The decision layer applies fixed thresholds.</w:t>
      </w:r>
    </w:p>
    <w:tbl>
      <w:tblPr>
        <w:tblW w:type="auto" w:w="0"/>
        <w:jc w:val="center"/>
        <w:tblLayout w:type="fixed"/>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997"/>
        <w:gridCol w:w="4997"/>
      </w:tblGrid>
      <w:tr>
        <w:trPr>
          <w:tblHeader w:val="true"/>
          <w:cantSplit/>
        </w:trPr>
        <w:tc>
          <w:tcPr>
            <w:tcW w:type="dxa" w:w="5544"/>
            <w:shd w:fill="23436B"/>
            <w:vAlign w:val="center"/>
            <w:tcMar>
              <w:top w:w="85" w:type="dxa"/>
              <w:start w:w="100" w:type="dxa"/>
              <w:bottom w:w="85" w:type="dxa"/>
              <w:end w:w="100" w:type="dxa"/>
            </w:tcMar>
          </w:tcPr>
          <w:p>
            <w:pPr>
              <w:spacing w:after="20" w:line="240" w:lineRule="auto"/>
            </w:pPr>
            <w:r>
              <w:rPr>
                <w:rFonts w:ascii="Aptos" w:hAnsi="Aptos"/>
                <w:b/>
                <w:color w:val="FFFFFF"/>
                <w:sz w:val="17"/>
              </w:rPr>
              <w:t>Decision condition</w:t>
            </w:r>
          </w:p>
        </w:tc>
        <w:tc>
          <w:tcPr>
            <w:tcW w:type="dxa" w:w="4248"/>
            <w:shd w:fill="23436B"/>
            <w:vAlign w:val="center"/>
            <w:tcMar>
              <w:top w:w="85" w:type="dxa"/>
              <w:start w:w="100" w:type="dxa"/>
              <w:bottom w:w="85" w:type="dxa"/>
              <w:end w:w="100" w:type="dxa"/>
            </w:tcMar>
          </w:tcPr>
          <w:p>
            <w:pPr>
              <w:spacing w:after="20" w:line="240" w:lineRule="auto"/>
            </w:pPr>
            <w:r>
              <w:rPr>
                <w:rFonts w:ascii="Aptos" w:hAnsi="Aptos"/>
                <w:b/>
                <w:color w:val="FFFFFF"/>
                <w:sz w:val="17"/>
              </w:rPr>
              <w:t>Verdict</w:t>
            </w:r>
          </w:p>
        </w:tc>
      </w:tr>
      <w:tr>
        <w:trPr>
          <w:cantSplit/>
        </w:trPr>
        <w:tc>
          <w:tcPr>
            <w:tcW w:type="dxa" w:w="5544"/>
            <w:vAlign w:val="center"/>
            <w:tcMar>
              <w:top w:w="85" w:type="dxa"/>
              <w:start w:w="100" w:type="dxa"/>
              <w:bottom w:w="85" w:type="dxa"/>
              <w:end w:w="100" w:type="dxa"/>
            </w:tcMar>
          </w:tcPr>
          <w:p>
            <w:pPr>
              <w:spacing w:after="20" w:line="240" w:lineRule="auto"/>
            </w:pPr>
            <w:r>
              <w:rPr>
                <w:rFonts w:ascii="Aptos" w:hAnsi="Aptos"/>
                <w:color w:val="23272E"/>
                <w:sz w:val="17"/>
              </w:rPr>
              <w:t>Neither support nor refute reaches 0.65.</w:t>
            </w:r>
          </w:p>
        </w:tc>
        <w:tc>
          <w:tcPr>
            <w:tcW w:type="dxa" w:w="4248"/>
            <w:vAlign w:val="center"/>
            <w:tcMar>
              <w:top w:w="85" w:type="dxa"/>
              <w:start w:w="100" w:type="dxa"/>
              <w:bottom w:w="85" w:type="dxa"/>
              <w:end w:w="100" w:type="dxa"/>
            </w:tcMar>
          </w:tcPr>
          <w:p>
            <w:pPr>
              <w:spacing w:after="20" w:line="240" w:lineRule="auto"/>
            </w:pPr>
            <w:r>
              <w:rPr>
                <w:rFonts w:ascii="Aptos" w:hAnsi="Aptos"/>
                <w:color w:val="23272E"/>
                <w:sz w:val="17"/>
              </w:rPr>
              <w:t>INSUFFICIENT</w:t>
            </w:r>
          </w:p>
        </w:tc>
      </w:tr>
      <w:tr>
        <w:trPr>
          <w:cantSplit/>
        </w:trPr>
        <w:tc>
          <w:tcPr>
            <w:tcW w:type="dxa" w:w="5544"/>
            <w:vAlign w:val="center"/>
            <w:tcMar>
              <w:top w:w="85" w:type="dxa"/>
              <w:start w:w="100" w:type="dxa"/>
              <w:bottom w:w="85" w:type="dxa"/>
              <w:end w:w="100" w:type="dxa"/>
            </w:tcMar>
            <w:shd w:fill="F2F6FA"/>
          </w:tcPr>
          <w:p>
            <w:pPr>
              <w:spacing w:after="20" w:line="240" w:lineRule="auto"/>
            </w:pPr>
            <w:r>
              <w:rPr>
                <w:rFonts w:ascii="Aptos" w:hAnsi="Aptos"/>
                <w:color w:val="23272E"/>
                <w:sz w:val="17"/>
              </w:rPr>
              <w:t>Support is at least 0.65 and refute is below 0.30.</w:t>
            </w:r>
          </w:p>
        </w:tc>
        <w:tc>
          <w:tcPr>
            <w:tcW w:type="dxa" w:w="4248"/>
            <w:vAlign w:val="center"/>
            <w:tcMar>
              <w:top w:w="85" w:type="dxa"/>
              <w:start w:w="100" w:type="dxa"/>
              <w:bottom w:w="85" w:type="dxa"/>
              <w:end w:w="100" w:type="dxa"/>
            </w:tcMar>
            <w:shd w:fill="F2F6FA"/>
          </w:tcPr>
          <w:p>
            <w:pPr>
              <w:spacing w:after="20" w:line="240" w:lineRule="auto"/>
            </w:pPr>
            <w:r>
              <w:rPr>
                <w:rFonts w:ascii="Aptos" w:hAnsi="Aptos"/>
                <w:color w:val="23272E"/>
                <w:sz w:val="17"/>
              </w:rPr>
              <w:t>SUPPORTS</w:t>
            </w:r>
          </w:p>
        </w:tc>
      </w:tr>
      <w:tr>
        <w:trPr>
          <w:cantSplit/>
        </w:trPr>
        <w:tc>
          <w:tcPr>
            <w:tcW w:type="dxa" w:w="5544"/>
            <w:vAlign w:val="center"/>
            <w:tcMar>
              <w:top w:w="85" w:type="dxa"/>
              <w:start w:w="100" w:type="dxa"/>
              <w:bottom w:w="85" w:type="dxa"/>
              <w:end w:w="100" w:type="dxa"/>
            </w:tcMar>
          </w:tcPr>
          <w:p>
            <w:pPr>
              <w:spacing w:after="20" w:line="240" w:lineRule="auto"/>
            </w:pPr>
            <w:r>
              <w:rPr>
                <w:rFonts w:ascii="Aptos" w:hAnsi="Aptos"/>
                <w:color w:val="23272E"/>
                <w:sz w:val="17"/>
              </w:rPr>
              <w:t>Refute is at least 0.65 and support is below 0.30.</w:t>
            </w:r>
          </w:p>
        </w:tc>
        <w:tc>
          <w:tcPr>
            <w:tcW w:type="dxa" w:w="4248"/>
            <w:vAlign w:val="center"/>
            <w:tcMar>
              <w:top w:w="85" w:type="dxa"/>
              <w:start w:w="100" w:type="dxa"/>
              <w:bottom w:w="85" w:type="dxa"/>
              <w:end w:w="100" w:type="dxa"/>
            </w:tcMar>
          </w:tcPr>
          <w:p>
            <w:pPr>
              <w:spacing w:after="20" w:line="240" w:lineRule="auto"/>
            </w:pPr>
            <w:r>
              <w:rPr>
                <w:rFonts w:ascii="Aptos" w:hAnsi="Aptos"/>
                <w:color w:val="23272E"/>
                <w:sz w:val="17"/>
              </w:rPr>
              <w:t>REFUTES</w:t>
            </w:r>
          </w:p>
        </w:tc>
      </w:tr>
      <w:tr>
        <w:trPr>
          <w:cantSplit/>
        </w:trPr>
        <w:tc>
          <w:tcPr>
            <w:tcW w:type="dxa" w:w="5544"/>
            <w:vAlign w:val="center"/>
            <w:tcMar>
              <w:top w:w="85" w:type="dxa"/>
              <w:start w:w="100" w:type="dxa"/>
              <w:bottom w:w="85" w:type="dxa"/>
              <w:end w:w="100" w:type="dxa"/>
            </w:tcMar>
            <w:shd w:fill="F2F6FA"/>
          </w:tcPr>
          <w:p>
            <w:pPr>
              <w:spacing w:after="20" w:line="240" w:lineRule="auto"/>
            </w:pPr>
            <w:r>
              <w:rPr>
                <w:rFonts w:ascii="Aptos" w:hAnsi="Aptos"/>
                <w:color w:val="23272E"/>
                <w:sz w:val="17"/>
              </w:rPr>
              <w:t>Both sides are elevated or the score margin is under 0.10.</w:t>
            </w:r>
          </w:p>
        </w:tc>
        <w:tc>
          <w:tcPr>
            <w:tcW w:type="dxa" w:w="4248"/>
            <w:vAlign w:val="center"/>
            <w:tcMar>
              <w:top w:w="85" w:type="dxa"/>
              <w:start w:w="100" w:type="dxa"/>
              <w:bottom w:w="85" w:type="dxa"/>
              <w:end w:w="100" w:type="dxa"/>
            </w:tcMar>
            <w:shd w:fill="F2F6FA"/>
          </w:tcPr>
          <w:p>
            <w:pPr>
              <w:spacing w:after="20" w:line="240" w:lineRule="auto"/>
            </w:pPr>
            <w:r>
              <w:rPr>
                <w:rFonts w:ascii="Aptos" w:hAnsi="Aptos"/>
                <w:color w:val="23272E"/>
                <w:sz w:val="17"/>
              </w:rPr>
              <w:t>INSUFFICIENT or the stronger side, per the decision function.</w:t>
            </w:r>
          </w:p>
        </w:tc>
      </w:tr>
    </w:tbl>
    <w:p>
      <w:pPr>
        <w:widowControl/>
      </w:pPr>
    </w:p>
    <w:p>
      <w:pPr>
        <w:widowControl/>
      </w:pPr>
      <w:r>
        <w:t>The API labels calibration as uncalibrated. NLI class scores, evidence strength, and the aggregated support/refute values are model or heuristic signals. Source authority and retrieval relevance do not establish truth by themselves.</w:t>
      </w:r>
    </w:p>
    <w:p>
      <w:pPr>
        <w:pStyle w:val="Heading1"/>
        <w:widowControl/>
      </w:pPr>
      <w:r>
        <w:t>4. API reference</w:t>
      </w:r>
    </w:p>
    <w:tbl>
      <w:tblPr>
        <w:tblW w:type="auto" w:w="0"/>
        <w:jc w:val="center"/>
        <w:tblLayout w:type="fixed"/>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997"/>
        <w:gridCol w:w="4997"/>
      </w:tblGrid>
      <w:tr>
        <w:trPr>
          <w:tblHeader w:val="true"/>
          <w:cantSplit/>
        </w:trPr>
        <w:tc>
          <w:tcPr>
            <w:tcW w:type="dxa" w:w="3240"/>
            <w:shd w:fill="23436B"/>
            <w:vAlign w:val="center"/>
            <w:tcMar>
              <w:top w:w="85" w:type="dxa"/>
              <w:start w:w="100" w:type="dxa"/>
              <w:bottom w:w="85" w:type="dxa"/>
              <w:end w:w="100" w:type="dxa"/>
            </w:tcMar>
          </w:tcPr>
          <w:p>
            <w:pPr>
              <w:spacing w:after="20" w:line="240" w:lineRule="auto"/>
            </w:pPr>
            <w:r>
              <w:rPr>
                <w:rFonts w:ascii="Aptos" w:hAnsi="Aptos"/>
                <w:b/>
                <w:color w:val="FFFFFF"/>
                <w:sz w:val="17"/>
              </w:rPr>
              <w:t>Route</w:t>
            </w:r>
          </w:p>
        </w:tc>
        <w:tc>
          <w:tcPr>
            <w:tcW w:type="dxa" w:w="6552"/>
            <w:shd w:fill="23436B"/>
            <w:vAlign w:val="center"/>
            <w:tcMar>
              <w:top w:w="85" w:type="dxa"/>
              <w:start w:w="100" w:type="dxa"/>
              <w:bottom w:w="85" w:type="dxa"/>
              <w:end w:w="100" w:type="dxa"/>
            </w:tcMar>
          </w:tcPr>
          <w:p>
            <w:pPr>
              <w:spacing w:after="20" w:line="240" w:lineRule="auto"/>
            </w:pPr>
            <w:r>
              <w:rPr>
                <w:rFonts w:ascii="Aptos" w:hAnsi="Aptos"/>
                <w:b/>
                <w:color w:val="FFFFFF"/>
                <w:sz w:val="17"/>
              </w:rPr>
              <w:t>Purpose and constraints</w:t>
            </w:r>
          </w:p>
        </w:tc>
      </w:tr>
      <w:tr>
        <w:trPr>
          <w:cantSplit/>
        </w:trPr>
        <w:tc>
          <w:tcPr>
            <w:tcW w:type="dxa" w:w="3240"/>
            <w:vAlign w:val="center"/>
            <w:tcMar>
              <w:top w:w="85" w:type="dxa"/>
              <w:start w:w="100" w:type="dxa"/>
              <w:bottom w:w="85" w:type="dxa"/>
              <w:end w:w="100" w:type="dxa"/>
            </w:tcMar>
          </w:tcPr>
          <w:p>
            <w:pPr>
              <w:spacing w:after="20" w:line="240" w:lineRule="auto"/>
            </w:pPr>
            <w:r>
              <w:rPr>
                <w:rFonts w:ascii="Aptos" w:hAnsi="Aptos"/>
                <w:color w:val="23272E"/>
                <w:sz w:val="17"/>
              </w:rPr>
              <w:t>POST /api/v1/verify</w:t>
            </w:r>
          </w:p>
        </w:tc>
        <w:tc>
          <w:tcPr>
            <w:tcW w:type="dxa" w:w="6552"/>
            <w:vAlign w:val="center"/>
            <w:tcMar>
              <w:top w:w="85" w:type="dxa"/>
              <w:start w:w="100" w:type="dxa"/>
              <w:bottom w:w="85" w:type="dxa"/>
              <w:end w:w="100" w:type="dxa"/>
            </w:tcMar>
          </w:tcPr>
          <w:p>
            <w:pPr>
              <w:spacing w:after="20" w:line="240" w:lineRule="auto"/>
            </w:pPr>
            <w:r>
              <w:rPr>
                <w:rFonts w:ascii="Aptos" w:hAnsi="Aptos"/>
                <w:color w:val="23272E"/>
                <w:sz w:val="17"/>
              </w:rPr>
              <w:t>Single claim, 5–1,000 characters. Optional max_evidence 1–20, recent_window_hours 1–168, include_baseline. JSON required.</w:t>
            </w:r>
          </w:p>
        </w:tc>
      </w:tr>
      <w:tr>
        <w:trPr>
          <w:cantSplit/>
        </w:trPr>
        <w:tc>
          <w:tcPr>
            <w:tcW w:type="dxa" w:w="3240"/>
            <w:vAlign w:val="center"/>
            <w:tcMar>
              <w:top w:w="85" w:type="dxa"/>
              <w:start w:w="100" w:type="dxa"/>
              <w:bottom w:w="85" w:type="dxa"/>
              <w:end w:w="100" w:type="dxa"/>
            </w:tcMar>
            <w:shd w:fill="F2F6FA"/>
          </w:tcPr>
          <w:p>
            <w:pPr>
              <w:spacing w:after="20" w:line="240" w:lineRule="auto"/>
            </w:pPr>
            <w:r>
              <w:rPr>
                <w:rFonts w:ascii="Aptos" w:hAnsi="Aptos"/>
                <w:color w:val="23272E"/>
                <w:sz w:val="17"/>
              </w:rPr>
              <w:t>POST /api/v1/verify/batch</w:t>
            </w:r>
          </w:p>
        </w:tc>
        <w:tc>
          <w:tcPr>
            <w:tcW w:type="dxa" w:w="6552"/>
            <w:vAlign w:val="center"/>
            <w:tcMar>
              <w:top w:w="85" w:type="dxa"/>
              <w:start w:w="100" w:type="dxa"/>
              <w:bottom w:w="85" w:type="dxa"/>
              <w:end w:w="100" w:type="dxa"/>
            </w:tcMar>
            <w:shd w:fill="F2F6FA"/>
          </w:tcPr>
          <w:p>
            <w:pPr>
              <w:spacing w:after="20" w:line="240" w:lineRule="auto"/>
            </w:pPr>
            <w:r>
              <w:rPr>
                <w:rFonts w:ascii="Aptos" w:hAnsi="Aptos"/>
                <w:color w:val="23272E"/>
                <w:sz w:val="17"/>
              </w:rPr>
              <w:t>One to ten single-claim verify requests.</w:t>
            </w:r>
          </w:p>
        </w:tc>
      </w:tr>
      <w:tr>
        <w:trPr>
          <w:cantSplit/>
        </w:trPr>
        <w:tc>
          <w:tcPr>
            <w:tcW w:type="dxa" w:w="3240"/>
            <w:vAlign w:val="center"/>
            <w:tcMar>
              <w:top w:w="85" w:type="dxa"/>
              <w:start w:w="100" w:type="dxa"/>
              <w:bottom w:w="85" w:type="dxa"/>
              <w:end w:w="100" w:type="dxa"/>
            </w:tcMar>
          </w:tcPr>
          <w:p>
            <w:pPr>
              <w:spacing w:after="20" w:line="240" w:lineRule="auto"/>
            </w:pPr>
            <w:r>
              <w:rPr>
                <w:rFonts w:ascii="Aptos" w:hAnsi="Aptos"/>
                <w:color w:val="23272E"/>
                <w:sz w:val="17"/>
              </w:rPr>
              <w:t>POST /api/v1/verify/article</w:t>
            </w:r>
          </w:p>
        </w:tc>
        <w:tc>
          <w:tcPr>
            <w:tcW w:type="dxa" w:w="6552"/>
            <w:vAlign w:val="center"/>
            <w:tcMar>
              <w:top w:w="85" w:type="dxa"/>
              <w:start w:w="100" w:type="dxa"/>
              <w:bottom w:w="85" w:type="dxa"/>
              <w:end w:w="100" w:type="dxa"/>
            </w:tcMar>
          </w:tcPr>
          <w:p>
            <w:pPr>
              <w:spacing w:after="20" w:line="240" w:lineRule="auto"/>
            </w:pPr>
            <w:r>
              <w:rPr>
                <w:rFonts w:ascii="Aptos" w:hAnsi="Aptos"/>
                <w:color w:val="23272E"/>
                <w:sz w:val="17"/>
              </w:rPr>
              <w:t>Text up to 20,000 characters; splits on periods and checks at most 20 sentences of at least five characters.</w:t>
            </w:r>
          </w:p>
        </w:tc>
      </w:tr>
      <w:tr>
        <w:trPr>
          <w:cantSplit/>
        </w:trPr>
        <w:tc>
          <w:tcPr>
            <w:tcW w:type="dxa" w:w="3240"/>
            <w:vAlign w:val="center"/>
            <w:tcMar>
              <w:top w:w="85" w:type="dxa"/>
              <w:start w:w="100" w:type="dxa"/>
              <w:bottom w:w="85" w:type="dxa"/>
              <w:end w:w="100" w:type="dxa"/>
            </w:tcMar>
            <w:shd w:fill="F2F6FA"/>
          </w:tcPr>
          <w:p>
            <w:pPr>
              <w:spacing w:after="20" w:line="240" w:lineRule="auto"/>
            </w:pPr>
            <w:r>
              <w:rPr>
                <w:rFonts w:ascii="Aptos" w:hAnsi="Aptos"/>
                <w:color w:val="23272E"/>
                <w:sz w:val="17"/>
              </w:rPr>
              <w:t>POST /api/v1/verify/url</w:t>
            </w:r>
          </w:p>
        </w:tc>
        <w:tc>
          <w:tcPr>
            <w:tcW w:type="dxa" w:w="6552"/>
            <w:vAlign w:val="center"/>
            <w:tcMar>
              <w:top w:w="85" w:type="dxa"/>
              <w:start w:w="100" w:type="dxa"/>
              <w:bottom w:w="85" w:type="dxa"/>
              <w:end w:w="100" w:type="dxa"/>
            </w:tcMar>
            <w:shd w:fill="F2F6FA"/>
          </w:tcPr>
          <w:p>
            <w:pPr>
              <w:spacing w:after="20" w:line="240" w:lineRule="auto"/>
            </w:pPr>
            <w:r>
              <w:rPr>
                <w:rFonts w:ascii="Aptos" w:hAnsi="Aptos"/>
                <w:color w:val="23272E"/>
                <w:sz w:val="17"/>
              </w:rPr>
              <w:t>Fetches a public HTTP(S) page and checks up to the first 1,000 extracted characters.</w:t>
            </w:r>
          </w:p>
        </w:tc>
      </w:tr>
      <w:tr>
        <w:trPr>
          <w:cantSplit/>
        </w:trPr>
        <w:tc>
          <w:tcPr>
            <w:tcW w:type="dxa" w:w="3240"/>
            <w:vAlign w:val="center"/>
            <w:tcMar>
              <w:top w:w="85" w:type="dxa"/>
              <w:start w:w="100" w:type="dxa"/>
              <w:bottom w:w="85" w:type="dxa"/>
              <w:end w:w="100" w:type="dxa"/>
            </w:tcMar>
          </w:tcPr>
          <w:p>
            <w:pPr>
              <w:spacing w:after="20" w:line="240" w:lineRule="auto"/>
            </w:pPr>
            <w:r>
              <w:rPr>
                <w:rFonts w:ascii="Aptos" w:hAnsi="Aptos"/>
                <w:color w:val="23272E"/>
                <w:sz w:val="17"/>
              </w:rPr>
              <w:t>GET /api/v1/health/live</w:t>
            </w:r>
          </w:p>
        </w:tc>
        <w:tc>
          <w:tcPr>
            <w:tcW w:type="dxa" w:w="6552"/>
            <w:vAlign w:val="center"/>
            <w:tcMar>
              <w:top w:w="85" w:type="dxa"/>
              <w:start w:w="100" w:type="dxa"/>
              <w:bottom w:w="85" w:type="dxa"/>
              <w:end w:w="100" w:type="dxa"/>
            </w:tcMar>
          </w:tcPr>
          <w:p>
            <w:pPr>
              <w:spacing w:after="20" w:line="240" w:lineRule="auto"/>
            </w:pPr>
            <w:r>
              <w:rPr>
                <w:rFonts w:ascii="Aptos" w:hAnsi="Aptos"/>
                <w:color w:val="23272E"/>
                <w:sz w:val="17"/>
              </w:rPr>
              <w:t>Lightweight process liveness.</w:t>
            </w:r>
          </w:p>
        </w:tc>
      </w:tr>
      <w:tr>
        <w:trPr>
          <w:cantSplit/>
        </w:trPr>
        <w:tc>
          <w:tcPr>
            <w:tcW w:type="dxa" w:w="3240"/>
            <w:vAlign w:val="center"/>
            <w:tcMar>
              <w:top w:w="85" w:type="dxa"/>
              <w:start w:w="100" w:type="dxa"/>
              <w:bottom w:w="85" w:type="dxa"/>
              <w:end w:w="100" w:type="dxa"/>
            </w:tcMar>
            <w:shd w:fill="F2F6FA"/>
          </w:tcPr>
          <w:p>
            <w:pPr>
              <w:spacing w:after="20" w:line="240" w:lineRule="auto"/>
            </w:pPr>
            <w:r>
              <w:rPr>
                <w:rFonts w:ascii="Aptos" w:hAnsi="Aptos"/>
                <w:color w:val="23272E"/>
                <w:sz w:val="17"/>
              </w:rPr>
              <w:t>GET /api/v1/health/ready</w:t>
            </w:r>
          </w:p>
        </w:tc>
        <w:tc>
          <w:tcPr>
            <w:tcW w:type="dxa" w:w="6552"/>
            <w:vAlign w:val="center"/>
            <w:tcMar>
              <w:top w:w="85" w:type="dxa"/>
              <w:start w:w="100" w:type="dxa"/>
              <w:bottom w:w="85" w:type="dxa"/>
              <w:end w:w="100" w:type="dxa"/>
            </w:tcMar>
            <w:shd w:fill="F2F6FA"/>
          </w:tcPr>
          <w:p>
            <w:pPr>
              <w:spacing w:after="20" w:line="240" w:lineRule="auto"/>
            </w:pPr>
            <w:r>
              <w:rPr>
                <w:rFonts w:ascii="Aptos" w:hAnsi="Aptos"/>
                <w:color w:val="23272E"/>
                <w:sz w:val="17"/>
              </w:rPr>
              <w:t>Loads/checks the NLI model and reports readiness; can be slow on first use.</w:t>
            </w:r>
          </w:p>
        </w:tc>
      </w:tr>
      <w:tr>
        <w:trPr>
          <w:cantSplit/>
        </w:trPr>
        <w:tc>
          <w:tcPr>
            <w:tcW w:type="dxa" w:w="3240"/>
            <w:vAlign w:val="center"/>
            <w:tcMar>
              <w:top w:w="85" w:type="dxa"/>
              <w:start w:w="100" w:type="dxa"/>
              <w:bottom w:w="85" w:type="dxa"/>
              <w:end w:w="100" w:type="dxa"/>
            </w:tcMar>
          </w:tcPr>
          <w:p>
            <w:pPr>
              <w:spacing w:after="20" w:line="240" w:lineRule="auto"/>
            </w:pPr>
            <w:r>
              <w:rPr>
                <w:rFonts w:ascii="Aptos" w:hAnsi="Aptos"/>
                <w:color w:val="23272E"/>
                <w:sz w:val="17"/>
              </w:rPr>
              <w:t>GET /api/v1/version, /api/v1/models, /api/v1/providers</w:t>
            </w:r>
          </w:p>
        </w:tc>
        <w:tc>
          <w:tcPr>
            <w:tcW w:type="dxa" w:w="6552"/>
            <w:vAlign w:val="center"/>
            <w:tcMar>
              <w:top w:w="85" w:type="dxa"/>
              <w:start w:w="100" w:type="dxa"/>
              <w:bottom w:w="85" w:type="dxa"/>
              <w:end w:w="100" w:type="dxa"/>
            </w:tcMar>
          </w:tcPr>
          <w:p>
            <w:pPr>
              <w:spacing w:after="20" w:line="240" w:lineRule="auto"/>
            </w:pPr>
            <w:r>
              <w:rPr>
                <w:rFonts w:ascii="Aptos" w:hAnsi="Aptos"/>
                <w:color w:val="23272E"/>
                <w:sz w:val="17"/>
              </w:rPr>
              <w:t>Pipeline version, model metadata, and configured provider list.</w:t>
            </w:r>
          </w:p>
        </w:tc>
      </w:tr>
      <w:tr>
        <w:trPr>
          <w:cantSplit/>
        </w:trPr>
        <w:tc>
          <w:tcPr>
            <w:tcW w:type="dxa" w:w="3240"/>
            <w:vAlign w:val="center"/>
            <w:tcMar>
              <w:top w:w="85" w:type="dxa"/>
              <w:start w:w="100" w:type="dxa"/>
              <w:bottom w:w="85" w:type="dxa"/>
              <w:end w:w="100" w:type="dxa"/>
            </w:tcMar>
            <w:shd w:fill="F2F6FA"/>
          </w:tcPr>
          <w:p>
            <w:pPr>
              <w:spacing w:after="20" w:line="240" w:lineRule="auto"/>
            </w:pPr>
            <w:r>
              <w:rPr>
                <w:rFonts w:ascii="Aptos" w:hAnsi="Aptos"/>
                <w:color w:val="23272E"/>
                <w:sz w:val="17"/>
              </w:rPr>
              <w:t>Legacy /api routes</w:t>
            </w:r>
          </w:p>
        </w:tc>
        <w:tc>
          <w:tcPr>
            <w:tcW w:type="dxa" w:w="6552"/>
            <w:vAlign w:val="center"/>
            <w:tcMar>
              <w:top w:w="85" w:type="dxa"/>
              <w:start w:w="100" w:type="dxa"/>
              <w:bottom w:w="85" w:type="dxa"/>
              <w:end w:w="100" w:type="dxa"/>
            </w:tcMar>
            <w:shd w:fill="F2F6FA"/>
          </w:tcPr>
          <w:p>
            <w:pPr>
              <w:spacing w:after="20" w:line="240" w:lineRule="auto"/>
            </w:pPr>
            <w:r>
              <w:rPr>
                <w:rFonts w:ascii="Aptos" w:hAnsi="Aptos"/>
                <w:color w:val="23272E"/>
                <w:sz w:val="17"/>
              </w:rPr>
              <w:t>Health, metrics, article analysis, evidence-only heuristic verification, and combined check. Not called by the current browser UI.</w:t>
            </w:r>
          </w:p>
        </w:tc>
      </w:tr>
    </w:tbl>
    <w:p>
      <w:pPr>
        <w:widowControl/>
      </w:pPr>
    </w:p>
    <w:p>
      <w:pPr>
        <w:widowControl/>
      </w:pPr>
      <w:r>
        <w:t>API v1 returns request_id, pipeline_version, claim entities/quantities, verdict, evidence_strength, strength_band, calibration, recency, flags, evidence and source provenance, aggregation, queries, provider statuses, explanation steps, model metadata, limitations, and timing. Validation errors are HTTP 400; missing/unavailable NLI is HTTP 503; URL fetching and validation failures return client errors.</w:t>
      </w:r>
    </w:p>
    <w:p>
      <w:pPr>
        <w:widowControl/>
      </w:pPr>
      <w:r>
        <w:t>Legacy /api/analyze and /api/check require models/fake_news_model.joblib. The active UI does not call these. /api/check selects one representative extracted claim for long input and combines it with the legacy evidence path; it does not verify every claim in an article.</w:t>
      </w:r>
    </w:p>
    <w:p>
      <w:pPr>
        <w:pStyle w:val="Heading1"/>
        <w:widowControl/>
      </w:pPr>
      <w:r>
        <w:t>5. Data and model assets</w:t>
      </w:r>
    </w:p>
    <w:tbl>
      <w:tblPr>
        <w:tblW w:type="auto" w:w="0"/>
        <w:jc w:val="center"/>
        <w:tblLayout w:type="fixed"/>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997"/>
        <w:gridCol w:w="4997"/>
      </w:tblGrid>
      <w:tr>
        <w:trPr>
          <w:tblHeader w:val="true"/>
          <w:cantSplit/>
        </w:trPr>
        <w:tc>
          <w:tcPr>
            <w:tcW w:type="dxa" w:w="3672"/>
            <w:shd w:fill="23436B"/>
            <w:vAlign w:val="center"/>
            <w:tcMar>
              <w:top w:w="85" w:type="dxa"/>
              <w:start w:w="100" w:type="dxa"/>
              <w:bottom w:w="85" w:type="dxa"/>
              <w:end w:w="100" w:type="dxa"/>
            </w:tcMar>
          </w:tcPr>
          <w:p>
            <w:pPr>
              <w:spacing w:after="20" w:line="240" w:lineRule="auto"/>
            </w:pPr>
            <w:r>
              <w:rPr>
                <w:rFonts w:ascii="Aptos" w:hAnsi="Aptos"/>
                <w:b/>
                <w:color w:val="FFFFFF"/>
                <w:sz w:val="17"/>
              </w:rPr>
              <w:t>Asset</w:t>
            </w:r>
          </w:p>
        </w:tc>
        <w:tc>
          <w:tcPr>
            <w:tcW w:type="dxa" w:w="6120"/>
            <w:shd w:fill="23436B"/>
            <w:vAlign w:val="center"/>
            <w:tcMar>
              <w:top w:w="85" w:type="dxa"/>
              <w:start w:w="100" w:type="dxa"/>
              <w:bottom w:w="85" w:type="dxa"/>
              <w:end w:w="100" w:type="dxa"/>
            </w:tcMar>
          </w:tcPr>
          <w:p>
            <w:pPr>
              <w:spacing w:after="20" w:line="240" w:lineRule="auto"/>
            </w:pPr>
            <w:r>
              <w:rPr>
                <w:rFonts w:ascii="Aptos" w:hAnsi="Aptos"/>
                <w:b/>
                <w:color w:val="FFFFFF"/>
                <w:sz w:val="17"/>
              </w:rPr>
              <w:t>Purpose and interpretation</w:t>
            </w:r>
          </w:p>
        </w:tc>
      </w:tr>
      <w:tr>
        <w:trPr>
          <w:cantSplit/>
        </w:trPr>
        <w:tc>
          <w:tcPr>
            <w:tcW w:type="dxa" w:w="3672"/>
            <w:vAlign w:val="center"/>
            <w:tcMar>
              <w:top w:w="85" w:type="dxa"/>
              <w:start w:w="100" w:type="dxa"/>
              <w:bottom w:w="85" w:type="dxa"/>
              <w:end w:w="100" w:type="dxa"/>
            </w:tcMar>
          </w:tcPr>
          <w:p>
            <w:pPr>
              <w:spacing w:after="20" w:line="240" w:lineRule="auto"/>
            </w:pPr>
            <w:r>
              <w:rPr>
                <w:rFonts w:ascii="Aptos" w:hAnsi="Aptos"/>
                <w:color w:val="23272E"/>
                <w:sz w:val="17"/>
              </w:rPr>
              <w:t>models/fake_news_model.joblib</w:t>
            </w:r>
          </w:p>
        </w:tc>
        <w:tc>
          <w:tcPr>
            <w:tcW w:type="dxa" w:w="6120"/>
            <w:vAlign w:val="center"/>
            <w:tcMar>
              <w:top w:w="85" w:type="dxa"/>
              <w:start w:w="100" w:type="dxa"/>
              <w:bottom w:w="85" w:type="dxa"/>
              <w:end w:w="100" w:type="dxa"/>
            </w:tcMar>
          </w:tcPr>
          <w:p>
            <w:pPr>
              <w:spacing w:after="20" w:line="240" w:lineRule="auto"/>
            </w:pPr>
            <w:r>
              <w:rPr>
                <w:rFonts w:ascii="Aptos" w:hAnsi="Aptos"/>
                <w:color w:val="23272E"/>
                <w:sz w:val="17"/>
              </w:rPr>
              <w:t>Legacy article classifier artifact consumed by /api/analyze and /api/check.</w:t>
            </w:r>
          </w:p>
        </w:tc>
      </w:tr>
      <w:tr>
        <w:trPr>
          <w:cantSplit/>
        </w:trPr>
        <w:tc>
          <w:tcPr>
            <w:tcW w:type="dxa" w:w="3672"/>
            <w:vAlign w:val="center"/>
            <w:tcMar>
              <w:top w:w="85" w:type="dxa"/>
              <w:start w:w="100" w:type="dxa"/>
              <w:bottom w:w="85" w:type="dxa"/>
              <w:end w:w="100" w:type="dxa"/>
            </w:tcMar>
            <w:shd w:fill="F2F6FA"/>
          </w:tcPr>
          <w:p>
            <w:pPr>
              <w:spacing w:after="20" w:line="240" w:lineRule="auto"/>
            </w:pPr>
            <w:r>
              <w:rPr>
                <w:rFonts w:ascii="Aptos" w:hAnsi="Aptos"/>
                <w:color w:val="23272E"/>
                <w:sz w:val="17"/>
              </w:rPr>
              <w:t>models/model_metrics.json</w:t>
            </w:r>
          </w:p>
        </w:tc>
        <w:tc>
          <w:tcPr>
            <w:tcW w:type="dxa" w:w="6120"/>
            <w:vAlign w:val="center"/>
            <w:tcMar>
              <w:top w:w="85" w:type="dxa"/>
              <w:start w:w="100" w:type="dxa"/>
              <w:bottom w:w="85" w:type="dxa"/>
              <w:end w:w="100" w:type="dxa"/>
            </w:tcMar>
            <w:shd w:fill="F2F6FA"/>
          </w:tcPr>
          <w:p>
            <w:pPr>
              <w:spacing w:after="20" w:line="240" w:lineRule="auto"/>
            </w:pPr>
            <w:r>
              <w:rPr>
                <w:rFonts w:ascii="Aptos" w:hAnsi="Aptos"/>
                <w:color w:val="23272E"/>
                <w:sz w:val="17"/>
              </w:rPr>
              <w:t>Legacy classifier random-split metrics; separate from NLI/evidence results.</w:t>
            </w:r>
          </w:p>
        </w:tc>
      </w:tr>
      <w:tr>
        <w:trPr>
          <w:cantSplit/>
        </w:trPr>
        <w:tc>
          <w:tcPr>
            <w:tcW w:type="dxa" w:w="3672"/>
            <w:vAlign w:val="center"/>
            <w:tcMar>
              <w:top w:w="85" w:type="dxa"/>
              <w:start w:w="100" w:type="dxa"/>
              <w:bottom w:w="85" w:type="dxa"/>
              <w:end w:w="100" w:type="dxa"/>
            </w:tcMar>
          </w:tcPr>
          <w:p>
            <w:pPr>
              <w:spacing w:after="20" w:line="240" w:lineRule="auto"/>
            </w:pPr>
            <w:r>
              <w:rPr>
                <w:rFonts w:ascii="Aptos" w:hAnsi="Aptos"/>
                <w:color w:val="23272E"/>
                <w:sz w:val="17"/>
              </w:rPr>
              <w:t>models/pytorch_claim_binary_v2_*</w:t>
            </w:r>
          </w:p>
        </w:tc>
        <w:tc>
          <w:tcPr>
            <w:tcW w:type="dxa" w:w="6120"/>
            <w:vAlign w:val="center"/>
            <w:tcMar>
              <w:top w:w="85" w:type="dxa"/>
              <w:start w:w="100" w:type="dxa"/>
              <w:bottom w:w="85" w:type="dxa"/>
              <w:end w:w="100" w:type="dxa"/>
            </w:tcMar>
          </w:tcPr>
          <w:p>
            <w:pPr>
              <w:spacing w:after="20" w:line="240" w:lineRule="auto"/>
            </w:pPr>
            <w:r>
              <w:rPr>
                <w:rFonts w:ascii="Aptos" w:hAnsi="Aptos"/>
                <w:color w:val="23272E"/>
                <w:sz w:val="17"/>
              </w:rPr>
              <w:t>Separate FEVER-derived binary claim-classifier experiment; not the browser’s v1 NLI model.</w:t>
            </w:r>
          </w:p>
        </w:tc>
      </w:tr>
      <w:tr>
        <w:trPr>
          <w:cantSplit/>
        </w:trPr>
        <w:tc>
          <w:tcPr>
            <w:tcW w:type="dxa" w:w="3672"/>
            <w:vAlign w:val="center"/>
            <w:tcMar>
              <w:top w:w="85" w:type="dxa"/>
              <w:start w:w="100" w:type="dxa"/>
              <w:bottom w:w="85" w:type="dxa"/>
              <w:end w:w="100" w:type="dxa"/>
            </w:tcMar>
            <w:shd w:fill="F2F6FA"/>
          </w:tcPr>
          <w:p>
            <w:pPr>
              <w:spacing w:after="20" w:line="240" w:lineRule="auto"/>
            </w:pPr>
            <w:r>
              <w:rPr>
                <w:rFonts w:ascii="Aptos" w:hAnsi="Aptos"/>
                <w:color w:val="23272E"/>
                <w:sz w:val="17"/>
              </w:rPr>
              <w:t>data/fake_and_real_news_dataset.csv</w:t>
            </w:r>
          </w:p>
        </w:tc>
        <w:tc>
          <w:tcPr>
            <w:tcW w:type="dxa" w:w="6120"/>
            <w:vAlign w:val="center"/>
            <w:tcMar>
              <w:top w:w="85" w:type="dxa"/>
              <w:start w:w="100" w:type="dxa"/>
              <w:bottom w:w="85" w:type="dxa"/>
              <w:end w:w="100" w:type="dxa"/>
            </w:tcMar>
            <w:shd w:fill="F2F6FA"/>
          </w:tcPr>
          <w:p>
            <w:pPr>
              <w:spacing w:after="20" w:line="240" w:lineRule="auto"/>
            </w:pPr>
            <w:r>
              <w:rPr>
                <w:rFonts w:ascii="Aptos" w:hAnsi="Aptos"/>
                <w:color w:val="23272E"/>
                <w:sz w:val="17"/>
              </w:rPr>
              <w:t>Article-level REAL/FAKE training set. Cleaning yields 4,572 rows; random split 3,657 train / 915 test.</w:t>
            </w:r>
          </w:p>
        </w:tc>
      </w:tr>
      <w:tr>
        <w:trPr>
          <w:cantSplit/>
        </w:trPr>
        <w:tc>
          <w:tcPr>
            <w:tcW w:type="dxa" w:w="3672"/>
            <w:vAlign w:val="center"/>
            <w:tcMar>
              <w:top w:w="85" w:type="dxa"/>
              <w:start w:w="100" w:type="dxa"/>
              <w:bottom w:w="85" w:type="dxa"/>
              <w:end w:w="100" w:type="dxa"/>
            </w:tcMar>
          </w:tcPr>
          <w:p>
            <w:pPr>
              <w:spacing w:after="20" w:line="240" w:lineRule="auto"/>
            </w:pPr>
            <w:r>
              <w:rPr>
                <w:rFonts w:ascii="Aptos" w:hAnsi="Aptos"/>
                <w:color w:val="23272E"/>
                <w:sz w:val="17"/>
              </w:rPr>
              <w:t>data/fever/ and data/eval/scifact/</w:t>
            </w:r>
          </w:p>
        </w:tc>
        <w:tc>
          <w:tcPr>
            <w:tcW w:type="dxa" w:w="6120"/>
            <w:vAlign w:val="center"/>
            <w:tcMar>
              <w:top w:w="85" w:type="dxa"/>
              <w:start w:w="100" w:type="dxa"/>
              <w:bottom w:w="85" w:type="dxa"/>
              <w:end w:w="100" w:type="dxa"/>
            </w:tcMar>
          </w:tcPr>
          <w:p>
            <w:pPr>
              <w:spacing w:after="20" w:line="240" w:lineRule="auto"/>
            </w:pPr>
            <w:r>
              <w:rPr>
                <w:rFonts w:ascii="Aptos" w:hAnsi="Aptos"/>
                <w:color w:val="23272E"/>
                <w:sz w:val="17"/>
              </w:rPr>
              <w:t>Claim-level records and scientific evidence corpus used by separate verification components; labels and metrics have distinct meaning.</w:t>
            </w:r>
          </w:p>
        </w:tc>
      </w:tr>
      <w:tr>
        <w:trPr>
          <w:cantSplit/>
        </w:trPr>
        <w:tc>
          <w:tcPr>
            <w:tcW w:type="dxa" w:w="3672"/>
            <w:vAlign w:val="center"/>
            <w:tcMar>
              <w:top w:w="85" w:type="dxa"/>
              <w:start w:w="100" w:type="dxa"/>
              <w:bottom w:w="85" w:type="dxa"/>
              <w:end w:w="100" w:type="dxa"/>
            </w:tcMar>
            <w:shd w:fill="F2F6FA"/>
          </w:tcPr>
          <w:p>
            <w:pPr>
              <w:spacing w:after="20" w:line="240" w:lineRule="auto"/>
            </w:pPr>
            <w:r>
              <w:rPr>
                <w:rFonts w:ascii="Aptos" w:hAnsi="Aptos"/>
                <w:color w:val="23272E"/>
                <w:sz w:val="17"/>
              </w:rPr>
              <w:t>models/registry.json</w:t>
            </w:r>
          </w:p>
        </w:tc>
        <w:tc>
          <w:tcPr>
            <w:tcW w:type="dxa" w:w="6120"/>
            <w:vAlign w:val="center"/>
            <w:tcMar>
              <w:top w:w="85" w:type="dxa"/>
              <w:start w:w="100" w:type="dxa"/>
              <w:bottom w:w="85" w:type="dxa"/>
              <w:end w:w="100" w:type="dxa"/>
            </w:tcMar>
            <w:shd w:fill="F2F6FA"/>
          </w:tcPr>
          <w:p>
            <w:pPr>
              <w:spacing w:after="20" w:line="240" w:lineRule="auto"/>
            </w:pPr>
            <w:r>
              <w:rPr>
                <w:rFonts w:ascii="Aptos" w:hAnsi="Aptos"/>
                <w:color w:val="23272E"/>
                <w:sz w:val="17"/>
              </w:rPr>
              <w:t>Recorded hashes and purposes for existing saved classifier artifacts; it does not register or pin the downloaded v1 NLI model revision.</w:t>
            </w:r>
          </w:p>
        </w:tc>
      </w:tr>
    </w:tbl>
    <w:p>
      <w:pPr>
        <w:widowControl/>
      </w:pPr>
    </w:p>
    <w:p>
      <w:pPr>
        <w:widowControl/>
      </w:pPr>
      <w:r>
        <w:t>The saved article-classifier random split reports 96.28% accuracy and approximately 96.28% macro F1, with 99.32% ROC AUC and 100% training accuracy. These are historical random-split results, not current UI metrics or broad real-world performance. No independent external article benchmark has valid rows in evaluation/external_evaluation.csv.</w:t>
      </w:r>
    </w:p>
    <w:p>
      <w:pPr>
        <w:widowControl/>
      </w:pPr>
      <w:r>
        <w:t>The active v1 NLI model is loaded through the Hugging Face/Transformers stack and is not stored as a project model file. First use may require model-cache access or a network download. The separate API readiness endpoint attempts to load it.</w:t>
      </w:r>
    </w:p>
    <w:p>
      <w:pPr>
        <w:pStyle w:val="Heading1"/>
        <w:widowControl/>
      </w:pPr>
      <w:r>
        <w:t>6. Setup and operation</w:t>
      </w:r>
    </w:p>
    <w:p>
      <w:pPr>
        <w:pStyle w:val="Heading2"/>
        <w:widowControl/>
      </w:pPr>
      <w:r>
        <w:t>Install and start on Windows</w:t>
      </w:r>
    </w:p>
    <w:p>
      <w:pPr>
        <w:widowControl/>
        <w:spacing w:before="40" w:after="140"/>
        <w:ind w:left="259" w:right="173"/>
      </w:pPr>
      <w:r>
        <w:rPr>
          <w:rFonts w:ascii="Consolas" w:hAnsi="Consolas"/>
          <w:color w:val="283444"/>
          <w:sz w:val="17"/>
        </w:rPr>
        <w:t>py -m venv .venv</w:t>
        <w:br/>
        <w:t>.venv\Scripts\python.exe -m pip install -r requirements.txt</w:t>
        <w:br/>
        <w:t>.\start_flask_server.bat</w:t>
      </w:r>
    </w:p>
    <w:p>
      <w:pPr>
        <w:widowControl/>
      </w:pPr>
      <w:r>
        <w:t>The launcher uses the project .venv when present, then runs Waitress bound to 127.0.0.1:5000 through backend.wsgi:app. Open http://127.0.0.1:5000. Stop with Ctrl+C. The launcher does not train a model. The browser evidence route requires the NLI model; article-classifier routes additionally require the joblib artifact.</w:t>
      </w:r>
    </w:p>
    <w:p>
      <w:pPr>
        <w:pStyle w:val="Heading2"/>
        <w:widowControl/>
      </w:pPr>
      <w:r>
        <w:t>Container</w:t>
      </w:r>
    </w:p>
    <w:p>
      <w:pPr>
        <w:widowControl/>
      </w:pPr>
      <w:r>
        <w:t>A Dockerfile is present and starts Waitress on port 5000 while binding to 0.0.0.0 inside the container. No docker-compose.yml is present. Container build/runtime behavior is not asserted here as verified; the Python dependency stack and model download/caching should be reviewed before deployment.</w:t>
      </w:r>
    </w:p>
    <w:p>
      <w:pPr>
        <w:pStyle w:val="Heading2"/>
        <w:widowControl/>
      </w:pPr>
      <w:r>
        <w:t>Train the legacy article model</w:t>
      </w:r>
    </w:p>
    <w:p>
      <w:pPr>
        <w:widowControl/>
        <w:spacing w:before="40" w:after="140"/>
        <w:ind w:left="259" w:right="173"/>
      </w:pPr>
      <w:r>
        <w:rPr>
          <w:rFonts w:ascii="Consolas" w:hAnsi="Consolas"/>
          <w:color w:val="283444"/>
          <w:sz w:val="17"/>
        </w:rPr>
        <w:t>.venv\Scripts\python.exe -m ml.train</w:t>
      </w:r>
    </w:p>
    <w:p>
      <w:pPr>
        <w:widowControl/>
      </w:pPr>
      <w:r>
        <w:t>This command replaces models/fake_news_model.joblib and models/model_metrics.json. It is not required to serve the browser’s current evidence API. Review data provenance and preserve prior artifacts before retraining.</w:t>
      </w:r>
    </w:p>
    <w:p>
      <w:pPr>
        <w:pStyle w:val="Heading1"/>
        <w:widowControl/>
      </w:pPr>
      <w:r>
        <w:t>7. Providers and configuration</w:t>
      </w:r>
    </w:p>
    <w:p>
      <w:pPr>
        <w:widowControl/>
      </w:pPr>
      <w:r>
        <w:t>The adapter registry includes local project-claim records, SciFact, Wikipedia, NewsAPI, GNews, Google Custom Search, and Google Fact Check Tools. Local corpora and Wikipedia can operate without paid-provider keys when their data/runtime requirements are met. Optional credentials are read from environment variables or ignored local dotenv files.</w:t>
      </w:r>
    </w:p>
    <w:tbl>
      <w:tblPr>
        <w:tblW w:type="auto" w:w="0"/>
        <w:jc w:val="center"/>
        <w:tblLayout w:type="fixed"/>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997"/>
        <w:gridCol w:w="4997"/>
      </w:tblGrid>
      <w:tr>
        <w:trPr>
          <w:tblHeader w:val="true"/>
          <w:cantSplit/>
        </w:trPr>
        <w:tc>
          <w:tcPr>
            <w:tcW w:type="dxa" w:w="3888"/>
            <w:shd w:fill="23436B"/>
            <w:vAlign w:val="center"/>
            <w:tcMar>
              <w:top w:w="85" w:type="dxa"/>
              <w:start w:w="100" w:type="dxa"/>
              <w:bottom w:w="85" w:type="dxa"/>
              <w:end w:w="100" w:type="dxa"/>
            </w:tcMar>
          </w:tcPr>
          <w:p>
            <w:pPr>
              <w:spacing w:after="20" w:line="240" w:lineRule="auto"/>
            </w:pPr>
            <w:r>
              <w:rPr>
                <w:rFonts w:ascii="Aptos" w:hAnsi="Aptos"/>
                <w:b/>
                <w:color w:val="FFFFFF"/>
                <w:sz w:val="17"/>
              </w:rPr>
              <w:t>Environment variable</w:t>
            </w:r>
          </w:p>
        </w:tc>
        <w:tc>
          <w:tcPr>
            <w:tcW w:type="dxa" w:w="5904"/>
            <w:shd w:fill="23436B"/>
            <w:vAlign w:val="center"/>
            <w:tcMar>
              <w:top w:w="85" w:type="dxa"/>
              <w:start w:w="100" w:type="dxa"/>
              <w:bottom w:w="85" w:type="dxa"/>
              <w:end w:w="100" w:type="dxa"/>
            </w:tcMar>
          </w:tcPr>
          <w:p>
            <w:pPr>
              <w:spacing w:after="20" w:line="240" w:lineRule="auto"/>
            </w:pPr>
            <w:r>
              <w:rPr>
                <w:rFonts w:ascii="Aptos" w:hAnsi="Aptos"/>
                <w:b/>
                <w:color w:val="FFFFFF"/>
                <w:sz w:val="17"/>
              </w:rPr>
              <w:t>Provider</w:t>
            </w:r>
          </w:p>
        </w:tc>
      </w:tr>
      <w:tr>
        <w:trPr>
          <w:cantSplit/>
        </w:trPr>
        <w:tc>
          <w:tcPr>
            <w:tcW w:type="dxa" w:w="3888"/>
            <w:vAlign w:val="center"/>
            <w:tcMar>
              <w:top w:w="85" w:type="dxa"/>
              <w:start w:w="100" w:type="dxa"/>
              <w:bottom w:w="85" w:type="dxa"/>
              <w:end w:w="100" w:type="dxa"/>
            </w:tcMar>
          </w:tcPr>
          <w:p>
            <w:pPr>
              <w:spacing w:after="20" w:line="240" w:lineRule="auto"/>
            </w:pPr>
            <w:r>
              <w:rPr>
                <w:rFonts w:ascii="Aptos" w:hAnsi="Aptos"/>
                <w:color w:val="23272E"/>
                <w:sz w:val="17"/>
              </w:rPr>
              <w:t>NEWSAPI_KEY</w:t>
            </w:r>
          </w:p>
        </w:tc>
        <w:tc>
          <w:tcPr>
            <w:tcW w:type="dxa" w:w="5904"/>
            <w:vAlign w:val="center"/>
            <w:tcMar>
              <w:top w:w="85" w:type="dxa"/>
              <w:start w:w="100" w:type="dxa"/>
              <w:bottom w:w="85" w:type="dxa"/>
              <w:end w:w="100" w:type="dxa"/>
            </w:tcMar>
          </w:tcPr>
          <w:p>
            <w:pPr>
              <w:spacing w:after="20" w:line="240" w:lineRule="auto"/>
            </w:pPr>
            <w:r>
              <w:rPr>
                <w:rFonts w:ascii="Aptos" w:hAnsi="Aptos"/>
                <w:color w:val="23272E"/>
                <w:sz w:val="17"/>
              </w:rPr>
              <w:t>NewsAPI</w:t>
            </w:r>
          </w:p>
        </w:tc>
      </w:tr>
      <w:tr>
        <w:trPr>
          <w:cantSplit/>
        </w:trPr>
        <w:tc>
          <w:tcPr>
            <w:tcW w:type="dxa" w:w="3888"/>
            <w:vAlign w:val="center"/>
            <w:tcMar>
              <w:top w:w="85" w:type="dxa"/>
              <w:start w:w="100" w:type="dxa"/>
              <w:bottom w:w="85" w:type="dxa"/>
              <w:end w:w="100" w:type="dxa"/>
            </w:tcMar>
            <w:shd w:fill="F2F6FA"/>
          </w:tcPr>
          <w:p>
            <w:pPr>
              <w:spacing w:after="20" w:line="240" w:lineRule="auto"/>
            </w:pPr>
            <w:r>
              <w:rPr>
                <w:rFonts w:ascii="Aptos" w:hAnsi="Aptos"/>
                <w:color w:val="23272E"/>
                <w:sz w:val="17"/>
              </w:rPr>
              <w:t>GNEWS_KEY</w:t>
            </w:r>
          </w:p>
        </w:tc>
        <w:tc>
          <w:tcPr>
            <w:tcW w:type="dxa" w:w="5904"/>
            <w:vAlign w:val="center"/>
            <w:tcMar>
              <w:top w:w="85" w:type="dxa"/>
              <w:start w:w="100" w:type="dxa"/>
              <w:bottom w:w="85" w:type="dxa"/>
              <w:end w:w="100" w:type="dxa"/>
            </w:tcMar>
            <w:shd w:fill="F2F6FA"/>
          </w:tcPr>
          <w:p>
            <w:pPr>
              <w:spacing w:after="20" w:line="240" w:lineRule="auto"/>
            </w:pPr>
            <w:r>
              <w:rPr>
                <w:rFonts w:ascii="Aptos" w:hAnsi="Aptos"/>
                <w:color w:val="23272E"/>
                <w:sz w:val="17"/>
              </w:rPr>
              <w:t>GNews</w:t>
            </w:r>
          </w:p>
        </w:tc>
      </w:tr>
      <w:tr>
        <w:trPr>
          <w:cantSplit/>
        </w:trPr>
        <w:tc>
          <w:tcPr>
            <w:tcW w:type="dxa" w:w="3888"/>
            <w:vAlign w:val="center"/>
            <w:tcMar>
              <w:top w:w="85" w:type="dxa"/>
              <w:start w:w="100" w:type="dxa"/>
              <w:bottom w:w="85" w:type="dxa"/>
              <w:end w:w="100" w:type="dxa"/>
            </w:tcMar>
          </w:tcPr>
          <w:p>
            <w:pPr>
              <w:spacing w:after="20" w:line="240" w:lineRule="auto"/>
            </w:pPr>
            <w:r>
              <w:rPr>
                <w:rFonts w:ascii="Aptos" w:hAnsi="Aptos"/>
                <w:color w:val="23272E"/>
                <w:sz w:val="17"/>
              </w:rPr>
              <w:t>GOOGLE_CSE_KEY and GOOGLE_CSE_CX</w:t>
            </w:r>
          </w:p>
        </w:tc>
        <w:tc>
          <w:tcPr>
            <w:tcW w:type="dxa" w:w="5904"/>
            <w:vAlign w:val="center"/>
            <w:tcMar>
              <w:top w:w="85" w:type="dxa"/>
              <w:start w:w="100" w:type="dxa"/>
              <w:bottom w:w="85" w:type="dxa"/>
              <w:end w:w="100" w:type="dxa"/>
            </w:tcMar>
          </w:tcPr>
          <w:p>
            <w:pPr>
              <w:spacing w:after="20" w:line="240" w:lineRule="auto"/>
            </w:pPr>
            <w:r>
              <w:rPr>
                <w:rFonts w:ascii="Aptos" w:hAnsi="Aptos"/>
                <w:color w:val="23272E"/>
                <w:sz w:val="17"/>
              </w:rPr>
              <w:t>Google Custom Search</w:t>
            </w:r>
          </w:p>
        </w:tc>
      </w:tr>
      <w:tr>
        <w:trPr>
          <w:cantSplit/>
        </w:trPr>
        <w:tc>
          <w:tcPr>
            <w:tcW w:type="dxa" w:w="3888"/>
            <w:vAlign w:val="center"/>
            <w:tcMar>
              <w:top w:w="85" w:type="dxa"/>
              <w:start w:w="100" w:type="dxa"/>
              <w:bottom w:w="85" w:type="dxa"/>
              <w:end w:w="100" w:type="dxa"/>
            </w:tcMar>
            <w:shd w:fill="F2F6FA"/>
          </w:tcPr>
          <w:p>
            <w:pPr>
              <w:spacing w:after="20" w:line="240" w:lineRule="auto"/>
            </w:pPr>
            <w:r>
              <w:rPr>
                <w:rFonts w:ascii="Aptos" w:hAnsi="Aptos"/>
                <w:color w:val="23272E"/>
                <w:sz w:val="17"/>
              </w:rPr>
              <w:t>GOOGLE_FACTCHECK_KEY</w:t>
            </w:r>
          </w:p>
        </w:tc>
        <w:tc>
          <w:tcPr>
            <w:tcW w:type="dxa" w:w="5904"/>
            <w:vAlign w:val="center"/>
            <w:tcMar>
              <w:top w:w="85" w:type="dxa"/>
              <w:start w:w="100" w:type="dxa"/>
              <w:bottom w:w="85" w:type="dxa"/>
              <w:end w:w="100" w:type="dxa"/>
            </w:tcMar>
            <w:shd w:fill="F2F6FA"/>
          </w:tcPr>
          <w:p>
            <w:pPr>
              <w:spacing w:after="20" w:line="240" w:lineRule="auto"/>
            </w:pPr>
            <w:r>
              <w:rPr>
                <w:rFonts w:ascii="Aptos" w:hAnsi="Aptos"/>
                <w:color w:val="23272E"/>
                <w:sz w:val="17"/>
              </w:rPr>
              <w:t>Google Fact Check Tools</w:t>
            </w:r>
          </w:p>
        </w:tc>
      </w:tr>
      <w:tr>
        <w:trPr>
          <w:cantSplit/>
        </w:trPr>
        <w:tc>
          <w:tcPr>
            <w:tcW w:type="dxa" w:w="3888"/>
            <w:vAlign w:val="center"/>
            <w:tcMar>
              <w:top w:w="85" w:type="dxa"/>
              <w:start w:w="100" w:type="dxa"/>
              <w:bottom w:w="85" w:type="dxa"/>
              <w:end w:w="100" w:type="dxa"/>
            </w:tcMar>
          </w:tcPr>
          <w:p>
            <w:pPr>
              <w:spacing w:after="20" w:line="240" w:lineRule="auto"/>
            </w:pPr>
            <w:r>
              <w:rPr>
                <w:rFonts w:ascii="Aptos" w:hAnsi="Aptos"/>
                <w:color w:val="23272E"/>
                <w:sz w:val="17"/>
              </w:rPr>
              <w:t>WIKIPEDIA_USER_AGENT</w:t>
            </w:r>
          </w:p>
        </w:tc>
        <w:tc>
          <w:tcPr>
            <w:tcW w:type="dxa" w:w="5904"/>
            <w:vAlign w:val="center"/>
            <w:tcMar>
              <w:top w:w="85" w:type="dxa"/>
              <w:start w:w="100" w:type="dxa"/>
              <w:bottom w:w="85" w:type="dxa"/>
              <w:end w:w="100" w:type="dxa"/>
            </w:tcMar>
          </w:tcPr>
          <w:p>
            <w:pPr>
              <w:spacing w:after="20" w:line="240" w:lineRule="auto"/>
            </w:pPr>
            <w:r>
              <w:rPr>
                <w:rFonts w:ascii="Aptos" w:hAnsi="Aptos"/>
                <w:color w:val="23272E"/>
                <w:sz w:val="17"/>
              </w:rPr>
              <w:t>Optional Wikipedia request identification; a default is provided.</w:t>
            </w:r>
          </w:p>
        </w:tc>
      </w:tr>
    </w:tbl>
    <w:p>
      <w:pPr>
        <w:widowControl/>
      </w:pPr>
    </w:p>
    <w:p>
      <w:pPr>
        <w:widowControl/>
      </w:pPr>
      <w:r>
        <w:t>Provider configuration and failures are included in API output. A skipped or failed provider is missing information, not evidence against the claim. The UI requests a four-hour window for timestamped evidence; undated sources are retained, so “recent” does not mean every source is recent.</w:t>
      </w:r>
    </w:p>
    <w:p>
      <w:pPr>
        <w:pStyle w:val="Heading1"/>
        <w:widowControl/>
      </w:pPr>
      <w:r>
        <w:t>8. Evaluation and testing</w:t>
      </w:r>
    </w:p>
    <w:p>
      <w:pPr>
        <w:widowControl/>
      </w:pPr>
      <w:r>
        <w:t>The project includes unit, reasoning, retrieval, API, and legacy classifier tests under tests/ and verification_module/tests/. Run the suite from the repository root with:</w:t>
      </w:r>
    </w:p>
    <w:p>
      <w:pPr>
        <w:widowControl/>
        <w:spacing w:before="40" w:after="140"/>
        <w:ind w:left="259" w:right="173"/>
      </w:pPr>
      <w:r>
        <w:rPr>
          <w:rFonts w:ascii="Consolas" w:hAnsi="Consolas"/>
          <w:color w:val="283444"/>
          <w:sz w:val="17"/>
        </w:rPr>
        <w:t>.venv\Scripts\python.exe -m pytest -q</w:t>
      </w:r>
    </w:p>
    <w:p>
      <w:pPr>
        <w:widowControl/>
      </w:pPr>
      <w:r>
        <w:t>Historical implementation notes record earlier incremental test counts, but this guide does not treat those as a fresh run. Re-run tests against the current checkout when reporting current test status.</w:t>
      </w:r>
    </w:p>
    <w:p>
      <w:pPr>
        <w:widowControl/>
      </w:pPr>
      <w:r>
        <w:t>reports/custom_validation.json contains an eight-claim report-only validation run. It is not a complete SciFact benchmark and must not be presented as general performance. The bounded SciFact subset evaluator work is not documented here as completed. The external article evaluator requires at least 100 valid, provenance-checked records; the current CSV has its header only. Keep future external evaluation separate from training and from the legacy random split.</w:t>
      </w:r>
    </w:p>
    <w:p>
      <w:pPr>
        <w:pStyle w:val="Heading1"/>
        <w:widowControl/>
      </w:pPr>
      <w:r>
        <w:t>9. Security, privacy, and deployment</w:t>
      </w:r>
    </w:p>
    <w:p>
      <w:pPr>
        <w:pStyle w:val="ListBullet"/>
        <w:widowControl/>
      </w:pPr>
      <w:r>
        <w:t>Flask limits request bodies to 128 KiB and applies an in-memory limit of 60 requests per client address per minute. The in-memory limiter is per process and is not suitable as a shared multi-worker control.</w:t>
      </w:r>
    </w:p>
    <w:p>
      <w:pPr>
        <w:pStyle w:val="ListBullet"/>
        <w:widowControl/>
      </w:pPr>
      <w:r>
        <w:t>The app adds nosniff, frame, referrer, and content-security policy headers. The launcher binds locally to 127.0.0.1. The Docker command binds inside the container to 0.0.0.0.</w:t>
      </w:r>
    </w:p>
    <w:p>
      <w:pPr>
        <w:pStyle w:val="ListBullet"/>
        <w:widowControl/>
      </w:pPr>
      <w:r>
        <w:t>Claim text is sent to configured external search providers during verification. Do not submit confidential content unless its use with those providers is acceptable. Keep keys in ignored local environment files or deployment secrets; never in frontend code or tracked documentation.</w:t>
      </w:r>
    </w:p>
    <w:p>
      <w:pPr>
        <w:pStyle w:val="ListBullet"/>
        <w:widowControl/>
      </w:pPr>
      <w:r>
        <w:t>URL verification rejects localhost/private-address targets, does not follow redirects, uses an eight-second timeout, and caps the response at 2 MB. These application checks are not a substitute for hardened egress controls in a public deployment.</w:t>
      </w:r>
    </w:p>
    <w:p>
      <w:pPr>
        <w:pStyle w:val="ListBullet"/>
        <w:widowControl/>
      </w:pPr>
      <w:r>
        <w:t>No production deployment is documented. Public deployment needs reviewed network egress, TLS, secret handling, process supervision, shared rate limiting, monitoring, data-retention policy, and provider-terms review.</w:t>
      </w:r>
    </w:p>
    <w:p>
      <w:pPr>
        <w:pStyle w:val="Heading1"/>
        <w:widowControl/>
      </w:pPr>
      <w:r>
        <w:t>10. Limitations and maintenance</w:t>
      </w:r>
    </w:p>
    <w:p>
      <w:pPr>
        <w:pStyle w:val="ListBullet"/>
        <w:widowControl/>
      </w:pPr>
      <w:r>
        <w:t>The browser currently sends pasted text to the single-claim endpoint despite allowing up to 20,000 characters; the API accepts at most 1,000. Align the UI limit or route article input through /api/v1/verify/article and render sentence-level results.</w:t>
      </w:r>
    </w:p>
    <w:p>
      <w:pPr>
        <w:pStyle w:val="ListBullet"/>
        <w:widowControl/>
      </w:pPr>
      <w:r>
        <w:t>The result renderer currently omits evidence source URLs even though the API returns them and the UI defines a safe-link helper. Connect the helper so users can inspect citations; this also resolves the page instruction to review linked sources.</w:t>
      </w:r>
    </w:p>
    <w:p>
      <w:pPr>
        <w:pStyle w:val="ListBullet"/>
        <w:widowControl/>
      </w:pPr>
      <w:r>
        <w:t>The browser displays evidence-only verdicts. It does not call the legacy article classifier or combine article and evidence signals.</w:t>
      </w:r>
    </w:p>
    <w:p>
      <w:pPr>
        <w:pStyle w:val="ListBullet"/>
        <w:widowControl/>
      </w:pPr>
      <w:r>
        <w:t>Article URL extraction is lightweight HTML parsing and verifies only a 1,000-character prefix. Paywalls, boilerplate, unusual encodings, or article structure can reduce extraction quality.</w:t>
      </w:r>
    </w:p>
    <w:p>
      <w:pPr>
        <w:pStyle w:val="ListBullet"/>
        <w:widowControl/>
      </w:pPr>
      <w:r>
        <w:t>NLI scores and thresholds are uncalibrated and untuned for production. Retrieval coverage, source quality, freshness, provider quotas, dataset matches, and model limitations affect results.</w:t>
      </w:r>
    </w:p>
    <w:p>
      <w:pPr>
        <w:pStyle w:val="ListBullet"/>
        <w:widowControl/>
      </w:pPr>
      <w:r>
        <w:t>The verification service cannot independently prove claims. Require human review for consequential use; report insufficient evidence as unresolved, not false.</w:t>
      </w:r>
    </w:p>
    <w:p>
      <w:pPr>
        <w:widowControl/>
      </w:pPr>
      <w:r>
        <w:t>Before changing a model, provider, threshold, request schema, or frontend route, update the API tests and relevant documentation. Refresh recorded metrics only from reproducible runs and keep the article classifier, dataset-match signals, and NLI evidence results clearly distinguished.</w:t>
      </w:r>
    </w:p>
    <w:p>
      <w:pPr>
        <w:pStyle w:val="Heading1"/>
        <w:widowControl/>
      </w:pPr>
      <w:r>
        <w:t>Source files to consult</w:t>
      </w:r>
    </w:p>
    <w:tbl>
      <w:tblPr>
        <w:tblW w:type="auto" w:w="0"/>
        <w:jc w:val="center"/>
        <w:tblLayout w:type="fixed"/>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997"/>
        <w:gridCol w:w="4997"/>
      </w:tblGrid>
      <w:tr>
        <w:trPr>
          <w:tblHeader w:val="true"/>
          <w:cantSplit/>
        </w:trPr>
        <w:tc>
          <w:tcPr>
            <w:tcW w:type="dxa" w:w="3240"/>
            <w:shd w:fill="23436B"/>
            <w:vAlign w:val="center"/>
            <w:tcMar>
              <w:top w:w="85" w:type="dxa"/>
              <w:start w:w="100" w:type="dxa"/>
              <w:bottom w:w="85" w:type="dxa"/>
              <w:end w:w="100" w:type="dxa"/>
            </w:tcMar>
          </w:tcPr>
          <w:p>
            <w:pPr>
              <w:spacing w:after="20" w:line="240" w:lineRule="auto"/>
            </w:pPr>
            <w:r>
              <w:rPr>
                <w:rFonts w:ascii="Aptos" w:hAnsi="Aptos"/>
                <w:b/>
                <w:color w:val="FFFFFF"/>
                <w:sz w:val="17"/>
              </w:rPr>
              <w:t>Area</w:t>
            </w:r>
          </w:p>
        </w:tc>
        <w:tc>
          <w:tcPr>
            <w:tcW w:type="dxa" w:w="6552"/>
            <w:shd w:fill="23436B"/>
            <w:vAlign w:val="center"/>
            <w:tcMar>
              <w:top w:w="85" w:type="dxa"/>
              <w:start w:w="100" w:type="dxa"/>
              <w:bottom w:w="85" w:type="dxa"/>
              <w:end w:w="100" w:type="dxa"/>
            </w:tcMar>
          </w:tcPr>
          <w:p>
            <w:pPr>
              <w:spacing w:after="20" w:line="240" w:lineRule="auto"/>
            </w:pPr>
            <w:r>
              <w:rPr>
                <w:rFonts w:ascii="Aptos" w:hAnsi="Aptos"/>
                <w:b/>
                <w:color w:val="FFFFFF"/>
                <w:sz w:val="17"/>
              </w:rPr>
              <w:t>Primary files</w:t>
            </w:r>
          </w:p>
        </w:tc>
      </w:tr>
      <w:tr>
        <w:trPr>
          <w:cantSplit/>
        </w:trPr>
        <w:tc>
          <w:tcPr>
            <w:tcW w:type="dxa" w:w="3240"/>
            <w:vAlign w:val="center"/>
            <w:tcMar>
              <w:top w:w="85" w:type="dxa"/>
              <w:start w:w="100" w:type="dxa"/>
              <w:bottom w:w="85" w:type="dxa"/>
              <w:end w:w="100" w:type="dxa"/>
            </w:tcMar>
          </w:tcPr>
          <w:p>
            <w:pPr>
              <w:spacing w:after="20" w:line="240" w:lineRule="auto"/>
            </w:pPr>
            <w:r>
              <w:rPr>
                <w:rFonts w:ascii="Aptos" w:hAnsi="Aptos"/>
                <w:color w:val="23272E"/>
                <w:sz w:val="17"/>
              </w:rPr>
              <w:t>Serving and routes</w:t>
            </w:r>
          </w:p>
        </w:tc>
        <w:tc>
          <w:tcPr>
            <w:tcW w:type="dxa" w:w="6552"/>
            <w:vAlign w:val="center"/>
            <w:tcMar>
              <w:top w:w="85" w:type="dxa"/>
              <w:start w:w="100" w:type="dxa"/>
              <w:bottom w:w="85" w:type="dxa"/>
              <w:end w:w="100" w:type="dxa"/>
            </w:tcMar>
          </w:tcPr>
          <w:p>
            <w:pPr>
              <w:spacing w:after="20" w:line="240" w:lineRule="auto"/>
            </w:pPr>
            <w:r>
              <w:rPr>
                <w:rFonts w:ascii="Aptos" w:hAnsi="Aptos"/>
                <w:color w:val="23272E"/>
                <w:sz w:val="17"/>
              </w:rPr>
              <w:t>backend/app.py; backend/wsgi.py; backend/api_v1/routes.py; backend/api_v1/schemas.py</w:t>
            </w:r>
          </w:p>
        </w:tc>
      </w:tr>
      <w:tr>
        <w:trPr>
          <w:cantSplit/>
        </w:trPr>
        <w:tc>
          <w:tcPr>
            <w:tcW w:type="dxa" w:w="3240"/>
            <w:vAlign w:val="center"/>
            <w:tcMar>
              <w:top w:w="85" w:type="dxa"/>
              <w:start w:w="100" w:type="dxa"/>
              <w:bottom w:w="85" w:type="dxa"/>
              <w:end w:w="100" w:type="dxa"/>
            </w:tcMar>
            <w:shd w:fill="F2F6FA"/>
          </w:tcPr>
          <w:p>
            <w:pPr>
              <w:spacing w:after="20" w:line="240" w:lineRule="auto"/>
            </w:pPr>
            <w:r>
              <w:rPr>
                <w:rFonts w:ascii="Aptos" w:hAnsi="Aptos"/>
                <w:color w:val="23272E"/>
                <w:sz w:val="17"/>
              </w:rPr>
              <w:t>Evidence and reasoning</w:t>
            </w:r>
          </w:p>
        </w:tc>
        <w:tc>
          <w:tcPr>
            <w:tcW w:type="dxa" w:w="6552"/>
            <w:vAlign w:val="center"/>
            <w:tcMar>
              <w:top w:w="85" w:type="dxa"/>
              <w:start w:w="100" w:type="dxa"/>
              <w:bottom w:w="85" w:type="dxa"/>
              <w:end w:w="100" w:type="dxa"/>
            </w:tcMar>
            <w:shd w:fill="F2F6FA"/>
          </w:tcPr>
          <w:p>
            <w:pPr>
              <w:spacing w:after="20" w:line="240" w:lineRule="auto"/>
            </w:pPr>
            <w:r>
              <w:rPr>
                <w:rFonts w:ascii="Aptos" w:hAnsi="Aptos"/>
                <w:color w:val="23272E"/>
                <w:sz w:val="17"/>
              </w:rPr>
              <w:t>backend/api_v1/service.py; verification_module/evidence_retrieval.py; verification_module/reasoning/</w:t>
            </w:r>
          </w:p>
        </w:tc>
      </w:tr>
      <w:tr>
        <w:trPr>
          <w:cantSplit/>
        </w:trPr>
        <w:tc>
          <w:tcPr>
            <w:tcW w:type="dxa" w:w="3240"/>
            <w:vAlign w:val="center"/>
            <w:tcMar>
              <w:top w:w="85" w:type="dxa"/>
              <w:start w:w="100" w:type="dxa"/>
              <w:bottom w:w="85" w:type="dxa"/>
              <w:end w:w="100" w:type="dxa"/>
            </w:tcMar>
          </w:tcPr>
          <w:p>
            <w:pPr>
              <w:spacing w:after="20" w:line="240" w:lineRule="auto"/>
            </w:pPr>
            <w:r>
              <w:rPr>
                <w:rFonts w:ascii="Aptos" w:hAnsi="Aptos"/>
                <w:color w:val="23272E"/>
                <w:sz w:val="17"/>
              </w:rPr>
              <w:t>Providers and configuration</w:t>
            </w:r>
          </w:p>
        </w:tc>
        <w:tc>
          <w:tcPr>
            <w:tcW w:type="dxa" w:w="6552"/>
            <w:vAlign w:val="center"/>
            <w:tcMar>
              <w:top w:w="85" w:type="dxa"/>
              <w:start w:w="100" w:type="dxa"/>
              <w:bottom w:w="85" w:type="dxa"/>
              <w:end w:w="100" w:type="dxa"/>
            </w:tcMar>
          </w:tcPr>
          <w:p>
            <w:pPr>
              <w:spacing w:after="20" w:line="240" w:lineRule="auto"/>
            </w:pPr>
            <w:r>
              <w:rPr>
                <w:rFonts w:ascii="Aptos" w:hAnsi="Aptos"/>
                <w:color w:val="23272E"/>
                <w:sz w:val="17"/>
              </w:rPr>
              <w:t>verification_module/adapters/; verification_module/config.py; verification_module/credibility.py</w:t>
            </w:r>
          </w:p>
        </w:tc>
      </w:tr>
      <w:tr>
        <w:trPr>
          <w:cantSplit/>
        </w:trPr>
        <w:tc>
          <w:tcPr>
            <w:tcW w:type="dxa" w:w="3240"/>
            <w:vAlign w:val="center"/>
            <w:tcMar>
              <w:top w:w="85" w:type="dxa"/>
              <w:start w:w="100" w:type="dxa"/>
              <w:bottom w:w="85" w:type="dxa"/>
              <w:end w:w="100" w:type="dxa"/>
            </w:tcMar>
            <w:shd w:fill="F2F6FA"/>
          </w:tcPr>
          <w:p>
            <w:pPr>
              <w:spacing w:after="20" w:line="240" w:lineRule="auto"/>
            </w:pPr>
            <w:r>
              <w:rPr>
                <w:rFonts w:ascii="Aptos" w:hAnsi="Aptos"/>
                <w:color w:val="23272E"/>
                <w:sz w:val="17"/>
              </w:rPr>
              <w:t>Browser UI</w:t>
            </w:r>
          </w:p>
        </w:tc>
        <w:tc>
          <w:tcPr>
            <w:tcW w:type="dxa" w:w="6552"/>
            <w:vAlign w:val="center"/>
            <w:tcMar>
              <w:top w:w="85" w:type="dxa"/>
              <w:start w:w="100" w:type="dxa"/>
              <w:bottom w:w="85" w:type="dxa"/>
              <w:end w:w="100" w:type="dxa"/>
            </w:tcMar>
            <w:shd w:fill="F2F6FA"/>
          </w:tcPr>
          <w:p>
            <w:pPr>
              <w:spacing w:after="20" w:line="240" w:lineRule="auto"/>
            </w:pPr>
            <w:r>
              <w:rPr>
                <w:rFonts w:ascii="Aptos" w:hAnsi="Aptos"/>
                <w:color w:val="23272E"/>
                <w:sz w:val="17"/>
              </w:rPr>
              <w:t>frontend/index.html; frontend/app.js; frontend/style.css</w:t>
            </w:r>
          </w:p>
        </w:tc>
      </w:tr>
      <w:tr>
        <w:trPr>
          <w:cantSplit/>
        </w:trPr>
        <w:tc>
          <w:tcPr>
            <w:tcW w:type="dxa" w:w="3240"/>
            <w:vAlign w:val="center"/>
            <w:tcMar>
              <w:top w:w="85" w:type="dxa"/>
              <w:start w:w="100" w:type="dxa"/>
              <w:bottom w:w="85" w:type="dxa"/>
              <w:end w:w="100" w:type="dxa"/>
            </w:tcMar>
          </w:tcPr>
          <w:p>
            <w:pPr>
              <w:spacing w:after="20" w:line="240" w:lineRule="auto"/>
            </w:pPr>
            <w:r>
              <w:rPr>
                <w:rFonts w:ascii="Aptos" w:hAnsi="Aptos"/>
                <w:color w:val="23272E"/>
                <w:sz w:val="17"/>
              </w:rPr>
              <w:t>Legacy classifier</w:t>
            </w:r>
          </w:p>
        </w:tc>
        <w:tc>
          <w:tcPr>
            <w:tcW w:type="dxa" w:w="6552"/>
            <w:vAlign w:val="center"/>
            <w:tcMar>
              <w:top w:w="85" w:type="dxa"/>
              <w:start w:w="100" w:type="dxa"/>
              <w:bottom w:w="85" w:type="dxa"/>
              <w:end w:w="100" w:type="dxa"/>
            </w:tcMar>
          </w:tcPr>
          <w:p>
            <w:pPr>
              <w:spacing w:after="20" w:line="240" w:lineRule="auto"/>
            </w:pPr>
            <w:r>
              <w:rPr>
                <w:rFonts w:ascii="Aptos" w:hAnsi="Aptos"/>
                <w:color w:val="23272E"/>
                <w:sz w:val="17"/>
              </w:rPr>
              <w:t>nlp/pipeline.py; ml/classifier.py; ml/train.py; models/model_metrics.json</w:t>
            </w:r>
          </w:p>
        </w:tc>
      </w:tr>
      <w:tr>
        <w:trPr>
          <w:cantSplit/>
        </w:trPr>
        <w:tc>
          <w:tcPr>
            <w:tcW w:type="dxa" w:w="3240"/>
            <w:vAlign w:val="center"/>
            <w:tcMar>
              <w:top w:w="85" w:type="dxa"/>
              <w:start w:w="100" w:type="dxa"/>
              <w:bottom w:w="85" w:type="dxa"/>
              <w:end w:w="100" w:type="dxa"/>
            </w:tcMar>
            <w:shd w:fill="F2F6FA"/>
          </w:tcPr>
          <w:p>
            <w:pPr>
              <w:spacing w:after="20" w:line="240" w:lineRule="auto"/>
            </w:pPr>
            <w:r>
              <w:rPr>
                <w:rFonts w:ascii="Aptos" w:hAnsi="Aptos"/>
                <w:color w:val="23272E"/>
                <w:sz w:val="17"/>
              </w:rPr>
              <w:t>Evaluation and caveats</w:t>
            </w:r>
          </w:p>
        </w:tc>
        <w:tc>
          <w:tcPr>
            <w:tcW w:type="dxa" w:w="6552"/>
            <w:vAlign w:val="center"/>
            <w:tcMar>
              <w:top w:w="85" w:type="dxa"/>
              <w:start w:w="100" w:type="dxa"/>
              <w:bottom w:w="85" w:type="dxa"/>
              <w:end w:w="100" w:type="dxa"/>
            </w:tcMar>
            <w:shd w:fill="F2F6FA"/>
          </w:tcPr>
          <w:p>
            <w:pPr>
              <w:spacing w:after="20" w:line="240" w:lineRule="auto"/>
            </w:pPr>
            <w:r>
              <w:rPr>
                <w:rFonts w:ascii="Aptos" w:hAnsi="Aptos"/>
                <w:color w:val="23272E"/>
                <w:sz w:val="17"/>
              </w:rPr>
              <w:t>evaluation/README.md; docs/LIMITATIONS.md; reports/custom_validation.json</w:t>
            </w:r>
          </w:p>
        </w:tc>
      </w:tr>
    </w:tbl>
    <w:p>
      <w:pPr>
        <w:widowControl/>
      </w:pPr>
    </w:p>
    <w:p>
      <w:pPr>
        <w:widowControl/>
      </w:pPr>
      <w:r>
        <w:t>Maintenance note: this reference guide was checked against the repository on 13 October 2026. Recheck live routes, UI request limits, provider configuration, model behavior, and evaluation outputs before presenting or distributing it.</w:t>
      </w:r>
    </w:p>
    <w:sectPr w:rsidR="00FC693F" w:rsidRPr="0006063C" w:rsidSect="00034616">
      <w:pgSz w:w="12240" w:h="15840"/>
      <w:pgMar w:top="979"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7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Reference Guide</dc:title>
  <dc:subject>Current implementation and operations for the Fake News and Misinformation Intelligent System</dc:subject>
  <dc:creator>python-docx</dc:creator>
  <cp:keywords>Flask, evidence verification, NLI, reference guide</cp:keywords>
  <dc:description>generated by python-docx</dc:description>
  <cp:lastModifiedBy/>
  <cp:revision>1</cp:revision>
  <dcterms:created xsi:type="dcterms:W3CDTF">2013-12-23T23:15:00Z</dcterms:created>
  <dcterms:modified xsi:type="dcterms:W3CDTF">2013-12-23T23:15:00Z</dcterms:modified>
  <cp:category/>
</cp:coreProperties>
</file>