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FBF"/>
          <w:sz w:val="72"/>
          <w:szCs w:val="72"/>
        </w:rPr>
        <w:t xml:space="preserve">PRHUB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Common Data Environment (CDE)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F3F8A"/>
          <w:sz w:val="32"/>
          <w:szCs w:val="32"/>
        </w:rPr>
        <w:t xml:space="preserve">Business Requirements Document</w:t>
      </w:r>
    </w:p>
    <w:p>
      <w:pPr>
        <w:pBdr>
          <w:bottom w:val="single" w:color="1A5FBF" w:sz="6" w:space="1"/>
        </w:pBdr>
        <w:spacing w:after="24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Document Ref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PRHUB-CDE-BRD-001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1.0 — Draft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M.Tech Research Project — Infrastructure CDE Study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PRHUB Infrastructure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F8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80" w:before="0"/>
        <w:jc w:val="center"/>
      </w:pPr>
      <w:r>
        <w:rPr>
          <w:i/>
          <w:iCs/>
          <w:color w:val="555555"/>
          <w:sz w:val="20"/>
          <w:szCs w:val="20"/>
        </w:rPr>
        <w:t xml:space="preserve">Based on internship study at infrastructure project site. This document defines the requirements for a multi-stakeholder Common Data Environment replacing informal file-sharing (Google Drive) with a structured, notification-driven, RFI-enabled platform.</w:t>
      </w:r>
    </w:p>
    <w:p>
      <w:pPr>
        <w:pageBreakBefore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1. Executive Summary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This Business Requirements Document (BRD) defines the functional and non-functional requirements for a digital Common Data Environment (CDE) to support early stakeholder involvement in infrastructure construction projects managed under PRHUB Infrastructure.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current approach — using Google Drive folders as a rudimentary document repository — was assessed as sub-par due to the absence of structured notifications, version management, and a formal query/response mechanism (RFI process). This CDE is designed to replace and significantly upgrade that approach.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CDE supports four defined stakeholder parties: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Party A — Project Management Consultant (PMC): Overall project governance, escalation authority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Party B — Design Consultant: Responsible for all design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Party C — Main Contractor: Responsible for construction execution and progress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Party D — Sub-Contractor / Specialist: Responsible for specialist works, mobilisation, and sub-packages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CDE delivers three core capabilities: structured document upload with automatic stakeholder notifications, a formal RFI (Request for Information) workflow with 7-day SLA and PMC escalation authority, and a real-time activity and notification dashboard.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2. Project Background &amp; Problem Statement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2.1 Background</w:t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This CDE is developed as part of an M.Tech research project, informed by a direct internship with an infrastructure construction company. The internship exposed the following project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Large-scale infrastructure project involving multiple stakeholder parties across design, construction, and PMC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Need for early stakeholder involvement in project design and planning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Reliance on informal communication channels (email, WhatsApp) for document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No structured mechanism for managing queries, clarifications, or information requests between parties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2.2 Problem Statement</w:t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existing Google Drive-based approach (PRHUB_VISL_CDE_Colored folder structure) was assessed as sub-par for the following reasons: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/ Problem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automated notifications on file upload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Stakeholders miss critical document uploads; no audit trail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RFI mechanism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Queries handled informally via email; no SLA, no traceability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version control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Multiple document versions in circulation without clarity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access permissions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Any user can modify or delete any file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audit log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Cannot evidence who uploaded what and when</w:t>
            </w:r>
          </w:p>
        </w:tc>
      </w:tr>
      <w:tr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 escalation workflow</w:t>
            </w:r>
          </w:p>
        </w:tc>
        <w:tc>
          <w:tcPr>
            <w:tcW w:type="dxa" w:w="46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PMC has no formal mechanism to escalate unanswered queries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3. Objectives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PRHUB CDE shall achieve the following objectives: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Provide a structured, centralised document repository with folder taxonomy aligned to project phases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Ensure all stakeholder parties are automatically notified when any document is uploaded to the CDE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Implement a formal, trackable RFI workflow with defined SLAs and escalation paths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Give Party A (PMC) visibility of all CDE activity and escalation authority over unresolved RFIs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Maintain a live activity log and notification history for audit and governance purposes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Support early stakeholder involvement by enabling all parties to contribute and query information in one environment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4. Stakeholder Register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300"/>
        <w:gridCol w:w="1560"/>
        <w:gridCol w:w="2600"/>
      </w:tblGrid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Organisation Role</w:t>
            </w:r>
          </w:p>
        </w:tc>
        <w:tc>
          <w:tcPr>
            <w:tcW w:type="dxa" w:w="23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CDE Role</w:t>
            </w:r>
          </w:p>
        </w:tc>
        <w:tc>
          <w:tcPr>
            <w:tcW w:type="dxa" w:w="15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RFI Authority</w:t>
            </w:r>
          </w:p>
        </w:tc>
        <w:tc>
          <w:tcPr>
            <w:tcW w:type="dxa" w:w="26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Special Permissions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Project Management Consultant</w:t>
            </w:r>
          </w:p>
        </w:tc>
        <w:tc>
          <w:tcPr>
            <w:tcW w:type="dxa" w:w="23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CDE Administrator &amp; Oversight</w:t>
            </w:r>
          </w:p>
        </w:tc>
        <w:tc>
          <w:tcPr>
            <w:tcW w:type="dxa" w:w="15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Full — raise &amp; escalate</w:t>
            </w:r>
          </w:p>
        </w:tc>
        <w:tc>
          <w:tcPr>
            <w:tcW w:type="dxa" w:w="26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Can escalate any overdue RFI; receives all notifications regardless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Design Consultant</w:t>
            </w:r>
          </w:p>
        </w:tc>
        <w:tc>
          <w:tcPr>
            <w:tcW w:type="dxa" w:w="23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Design Document Owner</w:t>
            </w:r>
          </w:p>
        </w:tc>
        <w:tc>
          <w:tcPr>
            <w:tcW w:type="dxa" w:w="15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Can raise against C or D</w:t>
            </w:r>
          </w:p>
        </w:tc>
        <w:tc>
          <w:tcPr>
            <w:tcW w:type="dxa" w:w="26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Responsible for all design folder uploads; PMC cc'd on RFIs raised by B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Main Contractor</w:t>
            </w:r>
          </w:p>
        </w:tc>
        <w:tc>
          <w:tcPr>
            <w:tcW w:type="dxa" w:w="23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Construction Document Owner</w:t>
            </w:r>
          </w:p>
        </w:tc>
        <w:tc>
          <w:tcPr>
            <w:tcW w:type="dxa" w:w="15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Can raise against B or D</w:t>
            </w:r>
          </w:p>
        </w:tc>
        <w:tc>
          <w:tcPr>
            <w:tcW w:type="dxa" w:w="26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Responsible for site monitoring, progress tracking uploads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Sub-Contractor / Specialist</w:t>
            </w:r>
          </w:p>
        </w:tc>
        <w:tc>
          <w:tcPr>
            <w:tcW w:type="dxa" w:w="23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Specialist Package Owner</w:t>
            </w:r>
          </w:p>
        </w:tc>
        <w:tc>
          <w:tcPr>
            <w:tcW w:type="dxa" w:w="15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Can raise against B or C</w:t>
            </w:r>
          </w:p>
        </w:tc>
        <w:tc>
          <w:tcPr>
            <w:tcW w:type="dxa" w:w="26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Responsible for safety &amp; compliance, contracts uploads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5. Functional Requirements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5.1 Document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FR-001: The system shall provide a structured document repository with a pre-defined folder taxonomy comprising 4 main party folders (Party A, B, C, D), each containing 11 standard subfolders, as defined in Section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FR-002: Any authenticated stakeholder party shall be able to upload documents to the CDE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FR-003: On upload, the system shall record: file name, folder, uploading party, date/time, version, and file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FR-004: The system shall support the following file types: PDF, DWG, XLSX, DOCX, images, ZIP, IFC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FR-005: The system shall display all documents in a tabular view filterable by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FR-006: The system shall provide a download function for all uploaded documents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5.2 Notification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FR-007: On any document upload, the system shall automatically generate an in-app notification to all three other stakeholder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FR-008: Notifications shall include: uploader identity, document name, folder, and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FR-009: Notifications shall be visible in a dedicated notification panel accessible from the top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FR-010: Unread notifications shall be visually distinguished from read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FR-011: The system shall maintain a full notification history with no auto-expiry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FR-012: Party A (PMC) shall receive a copy of every notification generated in the system regardless of originating party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5.3 RFI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FR-013: Any authenticated party shall be able to raise an RFI against any other party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FR-014: An RFI shall capture: unique ID (auto-generated), subject, description, raising party, respondent party, related document (optional), raised date, due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FR-015: The due date shall be automatically set to 7 calendar days from the raised date (SLA =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FR-016: On RFI submission, the system shall notify: the respondent party, Party A (PMC), and the raising party as a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FR-017: The notification to the respondent shall clearly state the RFI is raised against them and must be resolved within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FR-018: The respondent party shall be able to resolve the RFI by providing a written resolution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FR-019: On RFI resolution, the system shall notify the raising party and Party A (PMC)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FR-020: The system shall track RFI status through the following states: Open → Pending → Resolved or Escalated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FR-021: If an RFI passes its 7-day due date without resolution, Party A (PMC) shall have the ability to escalate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FR-022: On escalation by PMC, the respondent party shall receive an escalation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FR-023: The RFI Register shall display: RFI ID, subject, raised by, against, raised date, due date, days remaining, and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FR-024: Days remaining shall be colour-coded: green (3+ days), amber (1-2 days), red (overdue)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5.4 Dashboard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FR-025: The dashboard shall display summary statistics: total files, open RFIs, resolved RFIs, stakeholder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FR-026: The dashboard shall display a recent uploads list and a real-time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FR-027: The dashboard shall surface any escalated RFIs as a prominent banner for PMC (Party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FR-028: The stakeholder page shall show per-party statistics: files uploaded, RFIs raised, RFIs resolved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5.5 User &amp; Access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FR-029: The system shall support four distinct user accounts (one per stakeholder party)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FR-030: User context (current party) shall determine which notifications and RFIs are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FR-031: In the prototype, party switching shall be available via the top navigation bar to demonstrate multi-party behaviour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6. Non-Functional Requirements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NFR-001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Usability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The interface shall be navigable without technical training by non-IT professionals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NFR-002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Usability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Notification status (read/unread) shall be visually distinguishable at a glance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NFR-003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Dashboard and RFI register shall load within 2 seconds on standard hardware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NFR-004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All upload events and RFI state changes shall be recorded in an immutable activity log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NFR-005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The system shall target 99.5% uptime during business hours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NFR-006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Each party shall only view notifications and RFIs relevant to them (party-scoped data)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NFR-007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The codebase shall be a single-file HTML/JS prototype for rapid iteration and low operational overhead</w:t>
            </w:r>
          </w:p>
        </w:tc>
      </w:tr>
      <w:tr>
        <w:tc>
          <w:tcPr>
            <w:tcW w:type="dxa" w:w="12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NFR-008</w:t>
            </w:r>
          </w:p>
        </w:tc>
        <w:tc>
          <w:tcPr>
            <w:tcW w:type="dxa" w:w="2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The interface shall function on modern desktop browsers (Chrome, Edge, Firefox, Safari)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7. RFI Process Flow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following describes the end-to-end RFI workflow: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Party B, C, or D raises an RFI against any other party via the 'Raise RFI' button in the RFI Register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The system auto-assigns an RFI ID (e.g. RFI-007), records the raised date, and sets due date = raised date + 7 calendar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System generates notification to: Respondent party, Party A (PMC), and confirmation to raising party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Respondent party logs in, views the RFI in their Register, and provides a written resolution response within 7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On resolution, system marks RFI as Resolved, notifies raising party and Party A (PMC)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If the respondent does not resolve within 7 days, the days counter turns red and Party A may escalate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2A2520"/>
          <w:sz w:val="22"/>
          <w:szCs w:val="22"/>
        </w:rPr>
        <w:t xml:space="preserve">On PMC escalation, status changes to Escalated, and a further notification is sent to the respondent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Act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Sent To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RFI raised, awaiting response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(resolve); PMC (escalate if overdue)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+ PMC + Raiser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Response in progress (informal status)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(finalise response)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Resolved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has closed the RFI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Raiser + PMC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Escalated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PMC has formally escalated overdue RFI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PMC (re-escalate / override)</w:t>
            </w:r>
          </w:p>
        </w:tc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+ PMC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8. Document Folder Taxonomy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spacing w:after="80" w:before="80"/>
      </w:pPr>
      <w:r>
        <w:rPr>
          <w:color w:val="1A1814"/>
          <w:sz w:val="22"/>
          <w:szCs w:val="22"/>
        </w:rPr>
        <w:t xml:space="preserve">The CDE shall implement the following folder taxonomy. Each of the 4 stakeholder party folders (A, B, C, D) contains the same 11 standard subfolders, providing a consistent structure across all parties: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ID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Name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 / User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PARTY A — PROJECT MANAGEMENT CONSULTANT (PMC)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 INFORMATION REQUIREMENTS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A.2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2 DESIGN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A.3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3 PLANNING &amp; SCHEDULING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A.4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4 EVM &amp; PROGRESS TRACKING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A.5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5 CONSTRUCTION DOCUMENTATION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A.6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6 SITE MONITORING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A.7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7 CORRESPONDENCE &amp; APPROVALS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A.8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8 CONTRACTS &amp; PROCUREMENT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A.9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9 SAFETY &amp; COMPLIANCE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A.10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10 SHARED MODELS &amp; DATA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A.11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11 ARCHIVE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 (PMC)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PARTY B — DESIGN CONSULTANT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 INFORMATION REQUIREMENTS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B.2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2 DESIGN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B.3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3 PLANNING &amp; SCHEDULING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B.4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4 EVM &amp; PROGRESS TRACKING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B.5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5 CONSTRUCTION DOCUMENTATION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B.6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6 SITE MONITORING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B.7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7 CORRESPONDENCE &amp; APPROVALS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B.8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8 CONTRACTS &amp; PROCUREMENT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B.9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9 SAFETY &amp; COMPLIANCE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B.10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10 SHARED MODELS &amp; DATA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B.11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11 ARCHIVE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 (Design)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PARTY C — MAIN CONTRACTOR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 INFORMATION REQUIREMENTS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C.2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2 DESIGN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C.3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3 PLANNING &amp; SCHEDULING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C.4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4 EVM &amp; PROGRESS TRACKING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C.5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5 CONSTRUCTION DOCUMENTATION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C.6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6 SITE MONITORING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C.7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7 CORRESPONDENCE &amp; APPROVALS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C.8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8 CONTRACTS &amp; PROCUREMENT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C.9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9 SAFETY &amp; COMPLIANCE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C.10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10 SHARED MODELS &amp; DATA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C.11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11 ARCHIVE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 (Contractor)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PARTY D — SUB-CONTRACTOR / SPECIALIST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 INFORMATION REQUIREMENTS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D.2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2 DESIGN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D.3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3 PLANNING &amp; SCHEDULING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D.4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4 EVM &amp; PROGRESS TRACKING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D.5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5 CONSTRUCTION DOCUMENTATION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D.6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6 SITE MONITORING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D.7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7 CORRESPONDENCE &amp; APPROVALS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D.8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8 CONTRACTS &amp; PROCUREMENT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D.9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9 SAFETY &amp; COMPLIANCE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D.10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10 SHARED MODELS &amp; DATA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  <w:tr>
        <w:tc>
          <w:tcPr>
            <w:tcW w:type="dxa" w:w="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D.11</w:t>
            </w:r>
          </w:p>
        </w:tc>
        <w:tc>
          <w:tcPr>
            <w:tcW w:type="dxa" w:w="4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    11 ARCHIVE</w:t>
            </w:r>
          </w:p>
        </w:tc>
        <w:tc>
          <w:tcPr>
            <w:tcW w:type="dxa" w:w="38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 (Sub-Con)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9. Assumptions &amp; Constraints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All four stakeholder parties have access to a modern web browser and internet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Each party is represented by a single named account in the prototype (expandable to multi-user per party in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In-app notifications are the primary channel; email integration is out of scope for the prototype but planned for Phase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File storage in the prototype is in-browser/memory; production deployment requires a cloud storage backend (e.g. AWS S3, Google Cloud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Party A (PMC) is always assumed to be a trusted administrator; PMC access cannot be restricted by other parties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3F8A"/>
          <w:sz w:val="28"/>
          <w:szCs w:val="28"/>
        </w:rPr>
        <w:t xml:space="preserve">9.2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The prototype is delivered as a single HTML file for portability and ease of demonstration in an academic and project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No backend database in the prototype — all state is in-memory (data resets on page reload)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A production version would require authentication (OAuth or SSO), persistent storage, and email/SMS notification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File upload in the prototype simulates the upload action; actual binary storage requires a server-side backend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10. Out of Scope (Phase 1)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Email and SMS notification delivery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Multi-user accounts within a single party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Document version comparison / diff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Integration with BIM platforms (Autodesk BIM 360, Aconex)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Mobile native application (web-responsive is in scope)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Formal e-signature on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A2520"/>
          <w:sz w:val="22"/>
          <w:szCs w:val="22"/>
        </w:rPr>
        <w:t xml:space="preserve">Financial / valuation workflows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11. Acceptance Criteria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No.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AC-01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Uploading a file as any party triggers notifications to all 3 other parties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Upload test — verify notification count increases for other parties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AC-02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Party A (PMC) receives notification regardless of which parties are involved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Raise RFI as B against C — verify A receives notification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AC-03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RFI due date is correctly set to +7 days from raised date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Raise RFI and inspect due date field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AC-04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Respondent can resolve RFI; status changes to Resolved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Switch to respondent party and resolve RFI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AC-05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PMC can escalate any overdue RFI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As Party A, escalate an overdue RFI and verify status change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AC-06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Days remaining colour coding: green/amber/red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Visual inspection of RFI register for colour states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AC-07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Escalation banner visible on dashboard for PMC when escalated RFIs exist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Create escalated RFI; log in as A and verify banner</w:t>
            </w:r>
          </w:p>
        </w:tc>
      </w:tr>
      <w:tr>
        <w:tc>
          <w:tcPr>
            <w:tcW w:type="dxa" w:w="9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AC-08</w:t>
            </w:r>
          </w:p>
        </w:tc>
        <w:tc>
          <w:tcPr>
            <w:tcW w:type="dxa" w:w="540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Document filter by folder works correctly</w:t>
            </w:r>
          </w:p>
        </w:tc>
        <w:tc>
          <w:tcPr>
            <w:tcW w:type="dxa" w:w="30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Click each folder tab and verify filtered results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12. Future Phase Roadmap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5760"/>
      </w:tblGrid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Core CDE (this BRD)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Document repository, upload notifications, RFI workflow, stakeholder dashboard</w:t>
            </w:r>
          </w:p>
        </w:tc>
      </w:tr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Email &amp; SMS notification delivery, @mention in RFI comments, threaded discussion</w:t>
            </w:r>
          </w:p>
        </w:tc>
      </w:tr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BIM model viewer, GIS/site monitoring integration, Autodesk/Aconex connector</w:t>
            </w:r>
          </w:p>
        </w:tc>
      </w:tr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Phase 4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EVM dashboards, RFI trend analysis, SLA compliance reports, audit export</w:t>
            </w:r>
          </w:p>
        </w:tc>
      </w:tr>
      <w:tr>
        <w:tc>
          <w:tcPr>
            <w:tcW w:type="dxa" w:w="108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Phase 5</w:t>
            </w:r>
          </w:p>
        </w:tc>
        <w:tc>
          <w:tcPr>
            <w:tcW w:type="dxa" w:w="25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Automation</w:t>
            </w:r>
          </w:p>
        </w:tc>
        <w:tc>
          <w:tcPr>
            <w:tcW w:type="dxa" w:w="576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Auto-escalation rules, AI-assisted RFI categorisation, smart document tagging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400"/>
      </w:pPr>
      <w:r>
        <w:rPr>
          <w:b/>
          <w:bCs/>
          <w:color w:val="0F3F8A"/>
          <w:sz w:val="36"/>
          <w:szCs w:val="36"/>
        </w:rPr>
        <w:t xml:space="preserve">Appendix A — Glossary</w:t>
      </w:r>
    </w:p>
    <w:p>
      <w:pPr>
        <w:pBdr>
          <w:bottom w:val="single" w:color="1A5FBF" w:sz="6" w:space="1"/>
        </w:pBdr>
        <w:spacing w:after="16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1A5F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CDE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Common Data Environment — a single source of truth for all project information, defined under ISO 19650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RFI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Request for Information — a formal query raised by one party against another requesting clarification or information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PMC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Project Management Consultant — overall project governance authority (Party A)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SLA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Service Level Agreement — in this context, the 7-day RFI response requirement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ISO 19650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International standard for managing information over the whole life cycle of a built asset using BIM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BRD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Business Requirements Document — this document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EVM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Earned Value Management — project performance measurement methodology</w:t>
            </w:r>
          </w:p>
        </w:tc>
      </w:tr>
      <w:tr>
        <w:tc>
          <w:tcPr>
            <w:tcW w:type="dxa" w:w="234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IFC</w:t>
            </w:r>
          </w:p>
        </w:tc>
        <w:tc>
          <w:tcPr>
            <w:tcW w:type="dxa" w:w="7020"/>
            <w:tcBorders>
              <w:top w:val="single" w:color="E2DDD6" w:sz="1"/>
              <w:left w:val="single" w:color="E2DDD6" w:sz="1"/>
              <w:bottom w:val="single" w:color="E2DDD6" w:sz="1"/>
              <w:right w:val="single" w:color="E2DD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814"/>
                <w:sz w:val="20"/>
                <w:szCs w:val="20"/>
              </w:rPr>
              <w:t xml:space="preserve">Industry Foundation Classes — open standard for BIM model exchange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2DDD6" w:sz="4" w:space="1"/>
        </w:pBdr>
        <w:spacing w:after="0" w:before="200"/>
        <w:jc w:val="center"/>
      </w:pPr>
      <w:r>
        <w:rPr>
          <w:i/>
          <w:iCs/>
          <w:color w:val="888888"/>
          <w:sz w:val="18"/>
          <w:szCs w:val="18"/>
        </w:rPr>
        <w:t xml:space="preserve">End of Document — PRHUB CDE BRD v1.0 · March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DD6" w:sz="4" w:space="1"/>
      </w:pBdr>
      <w:spacing w:before="160"/>
      <w:jc w:val="center"/>
    </w:pPr>
    <w:r>
      <w:rPr>
        <w:color w:val="888888"/>
        <w:sz w:val="18"/>
        <w:szCs w:val="18"/>
      </w:rPr>
      <w:t xml:space="preserve">PRHUB Infrastructure CDE · BRD v1.0 · March 2026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BF" w:sz="6" w:space="1"/>
      </w:pBdr>
      <w:spacing w:after="200"/>
      <w:jc w:val="right"/>
    </w:pPr>
    <w:r>
      <w:rPr>
        <w:color w:val="888888"/>
        <w:sz w:val="18"/>
        <w:szCs w:val="18"/>
      </w:rPr>
      <w:t xml:space="preserve">PRHUB CDE — Business Requirements Document  </w:t>
    </w:r>
    <w:r>
      <w:rPr>
        <w:b/>
        <w:bCs/>
        <w:color w:val="B52D2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○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3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2026-05-16T09:53:16.725Z</dcterms:created>
  <dcterms:modified xsi:type="dcterms:W3CDTF">2026-05-16T09:53:16.725Z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