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B48A8" w14:textId="77777777" w:rsidR="00870601" w:rsidRDefault="00870601" w:rsidP="00E60402"/>
    <w:p w14:paraId="638B0A89" w14:textId="77777777" w:rsidR="00870601" w:rsidRDefault="00870601" w:rsidP="00E60402"/>
    <w:p w14:paraId="307C1ABB" w14:textId="77777777" w:rsidR="00870601" w:rsidRDefault="00870601" w:rsidP="00E60402"/>
    <w:p w14:paraId="1FE29490" w14:textId="77777777" w:rsidR="00870601" w:rsidRDefault="00870601" w:rsidP="00E60402"/>
    <w:p w14:paraId="4AD164DB" w14:textId="77777777" w:rsidR="00870601" w:rsidRDefault="00870601" w:rsidP="00E60402"/>
    <w:p w14:paraId="3198F184" w14:textId="77777777" w:rsidR="00870601" w:rsidRDefault="00870601" w:rsidP="00E60402"/>
    <w:p w14:paraId="749DF991" w14:textId="77777777" w:rsidR="00870601" w:rsidRDefault="00870601" w:rsidP="00E60402"/>
    <w:p w14:paraId="146B51E7" w14:textId="77777777" w:rsidR="00870601" w:rsidRDefault="00870601" w:rsidP="00E60402"/>
    <w:p w14:paraId="33D4F531" w14:textId="77777777" w:rsidR="00870601" w:rsidRDefault="00870601" w:rsidP="00E60402"/>
    <w:p w14:paraId="2516236D" w14:textId="77777777" w:rsidR="00870601" w:rsidRDefault="00870601" w:rsidP="00E60402"/>
    <w:p w14:paraId="5B74792C" w14:textId="77777777" w:rsidR="00870601" w:rsidRDefault="00870601" w:rsidP="00E60402"/>
    <w:p w14:paraId="6685816D" w14:textId="77777777" w:rsidR="00870601" w:rsidRDefault="00870601" w:rsidP="00E60402"/>
    <w:p w14:paraId="1B0290DB" w14:textId="77777777" w:rsidR="00870601" w:rsidRDefault="00870601" w:rsidP="00E60402"/>
    <w:p w14:paraId="4A76D497" w14:textId="77777777" w:rsidR="00870601" w:rsidRDefault="00870601" w:rsidP="00E60402"/>
    <w:p w14:paraId="19088390" w14:textId="2925DE32" w:rsidR="00870601" w:rsidRDefault="00870601" w:rsidP="00870601">
      <w:pPr>
        <w:pStyle w:val="Heading"/>
      </w:pPr>
      <w:r>
        <w:t>Technical Justification for the Decommissioning of Legacy AWS Infrastructure</w:t>
      </w:r>
    </w:p>
    <w:p w14:paraId="3C88A64B" w14:textId="77777777" w:rsidR="00870601" w:rsidRDefault="00870601" w:rsidP="00E60402"/>
    <w:p w14:paraId="4A9148F9" w14:textId="77777777" w:rsidR="00870601" w:rsidRDefault="00870601" w:rsidP="00E60402"/>
    <w:p w14:paraId="76482DF3" w14:textId="77777777" w:rsidR="00870601" w:rsidRDefault="00870601" w:rsidP="00E60402"/>
    <w:p w14:paraId="0A5D3255" w14:textId="77777777" w:rsidR="00870601" w:rsidRDefault="00870601" w:rsidP="00E60402"/>
    <w:p w14:paraId="7C0264B7" w14:textId="77777777" w:rsidR="00870601" w:rsidRDefault="00870601" w:rsidP="00E60402"/>
    <w:p w14:paraId="350EBCB5" w14:textId="77777777" w:rsidR="00870601" w:rsidRDefault="00870601" w:rsidP="00E60402"/>
    <w:p w14:paraId="320E82A6" w14:textId="77777777" w:rsidR="00870601" w:rsidRDefault="00870601" w:rsidP="00E60402"/>
    <w:p w14:paraId="118A8F15" w14:textId="77777777" w:rsidR="00870601" w:rsidRDefault="00870601" w:rsidP="00E60402"/>
    <w:p w14:paraId="0FCFD22B" w14:textId="77777777" w:rsidR="00870601" w:rsidRDefault="00870601" w:rsidP="00E60402"/>
    <w:p w14:paraId="50A18DC5" w14:textId="77777777" w:rsidR="00870601" w:rsidRDefault="00870601" w:rsidP="00E60402"/>
    <w:p w14:paraId="08F93190" w14:textId="77777777" w:rsidR="00870601" w:rsidRDefault="00870601" w:rsidP="00E60402"/>
    <w:p w14:paraId="2125993F" w14:textId="77777777" w:rsidR="00870601" w:rsidRDefault="00870601" w:rsidP="00E60402"/>
    <w:p w14:paraId="2DC0D663" w14:textId="77777777" w:rsidR="00870601" w:rsidRDefault="00870601" w:rsidP="00E60402"/>
    <w:p w14:paraId="00DA34B5" w14:textId="77777777" w:rsidR="00870601" w:rsidRDefault="00870601" w:rsidP="00E60402"/>
    <w:p w14:paraId="70D2ACE6" w14:textId="77777777" w:rsidR="00870601" w:rsidRDefault="00870601" w:rsidP="00E60402"/>
    <w:p w14:paraId="771E6653" w14:textId="77777777" w:rsidR="00870601" w:rsidRDefault="00870601" w:rsidP="00E60402"/>
    <w:p w14:paraId="4B01E7F1" w14:textId="77777777" w:rsidR="00870601" w:rsidRDefault="00870601" w:rsidP="00E60402"/>
    <w:p w14:paraId="66C0FAAD" w14:textId="77777777" w:rsidR="00870601" w:rsidRDefault="00870601" w:rsidP="00E60402"/>
    <w:p w14:paraId="6B070C70" w14:textId="77777777" w:rsidR="00870601" w:rsidRDefault="00870601" w:rsidP="00E60402"/>
    <w:p w14:paraId="0C5AE719" w14:textId="77777777" w:rsidR="00870601" w:rsidRDefault="00870601" w:rsidP="00E60402"/>
    <w:p w14:paraId="0D420279" w14:textId="77777777" w:rsidR="00870601" w:rsidRDefault="00870601" w:rsidP="00E60402"/>
    <w:p w14:paraId="2CF43336" w14:textId="77777777" w:rsidR="00870601" w:rsidRDefault="00870601" w:rsidP="00E60402"/>
    <w:p w14:paraId="2D50AFCB" w14:textId="77777777" w:rsidR="00870601" w:rsidRDefault="00870601" w:rsidP="00E60402"/>
    <w:p w14:paraId="1A473F74" w14:textId="77777777" w:rsidR="00870601" w:rsidRDefault="00870601" w:rsidP="00E60402"/>
    <w:p w14:paraId="2C668BBF" w14:textId="77777777" w:rsidR="00870601" w:rsidRDefault="00870601" w:rsidP="00E60402"/>
    <w:p w14:paraId="67417A9C" w14:textId="77777777" w:rsidR="00870601" w:rsidRDefault="00870601" w:rsidP="00E60402"/>
    <w:p w14:paraId="4C7394CE" w14:textId="77777777" w:rsidR="00870601" w:rsidRDefault="00870601" w:rsidP="00E60402"/>
    <w:p w14:paraId="40D9EDCF" w14:textId="77777777" w:rsidR="00870601" w:rsidRDefault="00870601" w:rsidP="00E60402"/>
    <w:p w14:paraId="1FFB5FFF" w14:textId="77777777" w:rsidR="00870601" w:rsidRDefault="00870601" w:rsidP="00E60402"/>
    <w:p w14:paraId="1F427266" w14:textId="77777777" w:rsidR="00870601" w:rsidRDefault="00870601" w:rsidP="00E60402"/>
    <w:p w14:paraId="64564F96" w14:textId="77777777" w:rsidR="00870601" w:rsidRDefault="00870601" w:rsidP="00870601">
      <w:pPr>
        <w:pStyle w:val="sub-heading2"/>
      </w:pPr>
      <w:r>
        <w:lastRenderedPageBreak/>
        <w:t>Context and Urgency</w:t>
      </w:r>
    </w:p>
    <w:p w14:paraId="67CC3EB0" w14:textId="78D35445" w:rsidR="00870601" w:rsidRDefault="00870601" w:rsidP="00870601">
      <w:pPr>
        <w:pStyle w:val="Style1-content"/>
      </w:pPr>
      <w:r w:rsidRPr="00870601">
        <w:t>Our AWS environment, reliant on outdated technologies such as oversized EC2 instances, an EKS cluster operating on Kubernetes version 1.21, and various improperly secured S3 buckets, constitutes a significant organizational liability. This infrastructure not only introduces severe security vulnerabilities but also results in substantial financial overhead and operational inefficiencies. The urgency to decommission these elements is driven by the need to mitigate escalating security risks and align with contemporary best practices for cloud management.</w:t>
      </w:r>
    </w:p>
    <w:p w14:paraId="18BEB8D9" w14:textId="77777777" w:rsidR="00870601" w:rsidRDefault="00870601" w:rsidP="00870601">
      <w:pPr>
        <w:pStyle w:val="Style1-content"/>
      </w:pPr>
    </w:p>
    <w:p w14:paraId="5910F22C" w14:textId="2071B451" w:rsidR="00870601" w:rsidRDefault="00E84DA3" w:rsidP="00CB649C">
      <w:pPr>
        <w:pStyle w:val="sub-heading2"/>
      </w:pPr>
      <w:r w:rsidRPr="00E84DA3">
        <w:t>Detailed Analysis of Current Infrastructure</w:t>
      </w:r>
    </w:p>
    <w:p w14:paraId="56AF14A5" w14:textId="77777777" w:rsidR="00870601" w:rsidRDefault="00870601" w:rsidP="00E60402"/>
    <w:p w14:paraId="03DD5F5B" w14:textId="77777777" w:rsidR="00E84DA3" w:rsidRPr="00E84DA3" w:rsidRDefault="00E84DA3" w:rsidP="00E84DA3">
      <w:pPr>
        <w:pStyle w:val="List-content"/>
        <w:numPr>
          <w:ilvl w:val="0"/>
          <w:numId w:val="6"/>
        </w:numPr>
        <w:ind w:left="142" w:hanging="284"/>
        <w:rPr>
          <w:rFonts w:ascii="Helvetica Neue" w:hAnsi="Helvetica Neue" w:cs="Helvetica Neue"/>
          <w:b/>
          <w:bCs/>
        </w:rPr>
      </w:pPr>
      <w:r w:rsidRPr="00E84DA3">
        <w:rPr>
          <w:b/>
          <w:bCs/>
        </w:rPr>
        <w:t>Security Vulnerabilities and Compliance Gaps:</w:t>
      </w:r>
    </w:p>
    <w:p w14:paraId="5E9FE4C6" w14:textId="4C478C59" w:rsidR="00E84DA3" w:rsidRDefault="00E84DA3" w:rsidP="00E84DA3">
      <w:pPr>
        <w:pStyle w:val="List-content"/>
        <w:numPr>
          <w:ilvl w:val="0"/>
          <w:numId w:val="5"/>
        </w:numPr>
        <w:ind w:left="426"/>
      </w:pPr>
      <w:r w:rsidRPr="00E84DA3">
        <w:t xml:space="preserve">EKS Cluster with Outdated Kubernetes Version: The core component of our concern is the Kubernetes 1.21 cluster. This version, now out of the </w:t>
      </w:r>
      <w:r>
        <w:t>extended</w:t>
      </w:r>
      <w:r w:rsidRPr="00E84DA3">
        <w:t xml:space="preserve"> support window</w:t>
      </w:r>
      <w:r>
        <w:t xml:space="preserve"> as well</w:t>
      </w:r>
      <w:r w:rsidRPr="00E84DA3">
        <w:t>, has documented vulnerabilities that are no longer addressed by routine patches. Each unpatched vulnerability represents a potential entry point for malicious activities, risking data integrity and privacy.</w:t>
      </w:r>
    </w:p>
    <w:p w14:paraId="5C84E62C" w14:textId="77777777" w:rsidR="00CB649C" w:rsidRPr="00E84DA3" w:rsidRDefault="00CB649C" w:rsidP="00CB649C">
      <w:pPr>
        <w:pStyle w:val="List-content"/>
        <w:numPr>
          <w:ilvl w:val="0"/>
          <w:numId w:val="0"/>
        </w:numPr>
        <w:ind w:left="426"/>
      </w:pPr>
    </w:p>
    <w:p w14:paraId="37185B0B" w14:textId="77777777" w:rsidR="00E84DA3" w:rsidRDefault="00E84DA3" w:rsidP="00E84DA3">
      <w:pPr>
        <w:pStyle w:val="List-content"/>
        <w:numPr>
          <w:ilvl w:val="0"/>
          <w:numId w:val="5"/>
        </w:numPr>
        <w:ind w:left="426"/>
      </w:pPr>
      <w:r w:rsidRPr="00E84DA3">
        <w:t>Legacy EC2 Instances: The oversized and underutilized EC2 instances currently in operation are not only cost-inefficient but are also running on older AMIs (Amazon Machine Images) that lack the latest security patches. This setup increases the risk of system compromise through known exploits.</w:t>
      </w:r>
    </w:p>
    <w:p w14:paraId="3CA8C952" w14:textId="77777777" w:rsidR="00CB649C" w:rsidRDefault="00CB649C" w:rsidP="00CB649C">
      <w:pPr>
        <w:pStyle w:val="ListParagraph"/>
      </w:pPr>
    </w:p>
    <w:p w14:paraId="7FA6CA38" w14:textId="77777777" w:rsidR="00CB649C" w:rsidRPr="00E84DA3" w:rsidRDefault="00CB649C" w:rsidP="00CB649C">
      <w:pPr>
        <w:pStyle w:val="List-content"/>
        <w:numPr>
          <w:ilvl w:val="0"/>
          <w:numId w:val="0"/>
        </w:numPr>
        <w:ind w:left="426"/>
      </w:pPr>
    </w:p>
    <w:p w14:paraId="37E181B1" w14:textId="77777777" w:rsidR="00E84DA3" w:rsidRPr="00E84DA3" w:rsidRDefault="00E84DA3" w:rsidP="00E84DA3">
      <w:pPr>
        <w:pStyle w:val="List-content"/>
        <w:numPr>
          <w:ilvl w:val="0"/>
          <w:numId w:val="6"/>
        </w:numPr>
        <w:ind w:left="142" w:hanging="284"/>
        <w:rPr>
          <w:b/>
          <w:bCs/>
        </w:rPr>
      </w:pPr>
      <w:r w:rsidRPr="00E84DA3">
        <w:rPr>
          <w:b/>
          <w:bCs/>
        </w:rPr>
        <w:t>Operational Inefficiencies:</w:t>
      </w:r>
    </w:p>
    <w:p w14:paraId="28FB3EB4" w14:textId="77777777" w:rsidR="00E84DA3" w:rsidRPr="00E84DA3" w:rsidRDefault="00E84DA3" w:rsidP="00E84DA3">
      <w:pPr>
        <w:pStyle w:val="List-content"/>
        <w:numPr>
          <w:ilvl w:val="0"/>
          <w:numId w:val="4"/>
        </w:numPr>
        <w:ind w:left="426"/>
      </w:pPr>
      <w:r w:rsidRPr="00E84DA3">
        <w:t>AWS mandates periodic upgrades of the EKS control plane, which currently requires us to upgrade sequentially from our existing Kubernetes version 1.21 to the latest version 1.29. Each incremental upgrade can introduce compatibility issues with the applications currently deployed on our cluster. Given the sequential nature of these upgrades, the risk of encountering incompatibilities increases with each version transition, potentially leading to significant disruptions. This multi-step upgrade process demands extensive testing and validation to ensure that each version is compatible with our operational requirements, significantly increasing the overhead and straining our resources.</w:t>
      </w:r>
    </w:p>
    <w:p w14:paraId="795AB5B0" w14:textId="6A0A5211" w:rsidR="00E84DA3" w:rsidRDefault="00E84DA3" w:rsidP="00E84DA3">
      <w:pPr>
        <w:pStyle w:val="List-content"/>
        <w:numPr>
          <w:ilvl w:val="0"/>
          <w:numId w:val="4"/>
        </w:numPr>
        <w:ind w:left="426"/>
      </w:pPr>
      <w:r w:rsidRPr="00E84DA3">
        <w:lastRenderedPageBreak/>
        <w:t>Complexity in Management: The older architecture and configuration lead to increased complexity in management</w:t>
      </w:r>
      <w:r w:rsidRPr="00E84DA3">
        <w:t xml:space="preserve">. </w:t>
      </w:r>
      <w:r w:rsidRPr="00E84DA3">
        <w:t>The complexity of managing these outdated systems also increases the likelihood of human error, further exacerbating risks and potential for downtime.</w:t>
      </w:r>
    </w:p>
    <w:p w14:paraId="68B914CB" w14:textId="77777777" w:rsidR="00CB649C" w:rsidRPr="00E84DA3" w:rsidRDefault="00CB649C" w:rsidP="00CB649C">
      <w:pPr>
        <w:pStyle w:val="List-content"/>
        <w:numPr>
          <w:ilvl w:val="0"/>
          <w:numId w:val="0"/>
        </w:numPr>
        <w:ind w:left="426"/>
      </w:pPr>
    </w:p>
    <w:p w14:paraId="613937E5" w14:textId="1F5FA815" w:rsidR="00E84DA3" w:rsidRDefault="00E84DA3" w:rsidP="00E84DA3">
      <w:pPr>
        <w:pStyle w:val="List-content"/>
        <w:numPr>
          <w:ilvl w:val="0"/>
          <w:numId w:val="4"/>
        </w:numPr>
        <w:ind w:left="426"/>
      </w:pPr>
      <w:r w:rsidRPr="00E84DA3">
        <w:t>The current state requires continuous monitoring and frequent manual interventions to maintain operational stability.</w:t>
      </w:r>
    </w:p>
    <w:p w14:paraId="6747AB25" w14:textId="77777777" w:rsidR="00CB649C" w:rsidRDefault="00CB649C" w:rsidP="00CB649C">
      <w:pPr>
        <w:pStyle w:val="List-content"/>
        <w:numPr>
          <w:ilvl w:val="0"/>
          <w:numId w:val="0"/>
        </w:numPr>
      </w:pPr>
    </w:p>
    <w:p w14:paraId="5901EA1D" w14:textId="77777777" w:rsidR="00CB649C" w:rsidRPr="00CB649C" w:rsidRDefault="00CB649C" w:rsidP="00CB649C">
      <w:pPr>
        <w:pStyle w:val="List-content"/>
        <w:numPr>
          <w:ilvl w:val="0"/>
          <w:numId w:val="6"/>
        </w:numPr>
        <w:ind w:left="142" w:hanging="284"/>
        <w:rPr>
          <w:b/>
          <w:bCs/>
        </w:rPr>
      </w:pPr>
      <w:r w:rsidRPr="00CB649C">
        <w:rPr>
          <w:b/>
          <w:bCs/>
        </w:rPr>
        <w:t>Unencrypted EBS Snapshots &amp; Volumes</w:t>
      </w:r>
    </w:p>
    <w:p w14:paraId="574B7A79" w14:textId="397F4BAD" w:rsidR="00CB649C" w:rsidRDefault="00CB649C" w:rsidP="00CB649C">
      <w:pPr>
        <w:pStyle w:val="List-content"/>
        <w:numPr>
          <w:ilvl w:val="0"/>
          <w:numId w:val="4"/>
        </w:numPr>
        <w:ind w:left="426"/>
      </w:pPr>
      <w:r w:rsidRPr="00CB649C">
        <w:t>One of the most pressing concerns in our current AWS setup involves the handling of Elastic Block Store (EBS) snapshots and volumes, which are unencrypted. This oversight exposes sensitive data to potential breaches, as unencrypted storage is more susceptible to unauthorized access. This vulnerability is exacerbated in environments where snapshots are used for backups or to scale and replicate data across other environments, as each copy increases the exposure risk.</w:t>
      </w:r>
    </w:p>
    <w:p w14:paraId="620AEBD9" w14:textId="77777777" w:rsidR="00CB649C" w:rsidRPr="00CB649C" w:rsidRDefault="00CB649C" w:rsidP="00CB649C">
      <w:pPr>
        <w:pStyle w:val="List-content"/>
        <w:numPr>
          <w:ilvl w:val="0"/>
          <w:numId w:val="0"/>
        </w:numPr>
        <w:ind w:left="426"/>
      </w:pPr>
    </w:p>
    <w:p w14:paraId="6F28CDAD" w14:textId="77777777" w:rsidR="00CB649C" w:rsidRPr="00CB649C" w:rsidRDefault="00CB649C" w:rsidP="00CB649C">
      <w:pPr>
        <w:pStyle w:val="List-content"/>
        <w:numPr>
          <w:ilvl w:val="0"/>
          <w:numId w:val="6"/>
        </w:numPr>
        <w:ind w:left="142" w:hanging="284"/>
        <w:rPr>
          <w:b/>
          <w:bCs/>
        </w:rPr>
      </w:pPr>
      <w:r w:rsidRPr="00CB649C">
        <w:rPr>
          <w:b/>
          <w:bCs/>
        </w:rPr>
        <w:t>Vulnerabilities Due to Liberal Access Policies</w:t>
      </w:r>
    </w:p>
    <w:p w14:paraId="59510009" w14:textId="0B8F2F37" w:rsidR="00CB649C" w:rsidRDefault="00CB649C" w:rsidP="00CB649C">
      <w:pPr>
        <w:pStyle w:val="List-content"/>
        <w:numPr>
          <w:ilvl w:val="0"/>
          <w:numId w:val="4"/>
        </w:numPr>
        <w:ind w:left="426"/>
      </w:pPr>
      <w:r w:rsidRPr="00CB649C">
        <w:t xml:space="preserve">Our review has identified excessively permissive access policies on several AWS resources, including EC2 instances, S3 buckets, and IAM (Identity and Access Management) policies. These liberal IAM policies grant broader access than necessary, which not only increases the risk of accidental or malicious data breaches but also exposes us to potential compliance issues. The principle of least privilege, which should restrict access rights for users, accounts, and computing processes to only those resources absolutely required to perform their functions, is not adequately enforced. This excessive access can lead to unauthorized data manipulation or extraction, significantly heightening our security risks. Adjusting these policies to ensure they are tightly scoped and regularly audited is crucial to protect our assets and reduce the likelihood of </w:t>
      </w:r>
      <w:r>
        <w:t>security incidents.</w:t>
      </w:r>
    </w:p>
    <w:p w14:paraId="1805C5DF" w14:textId="77777777" w:rsidR="00CB649C" w:rsidRPr="00CB649C" w:rsidRDefault="00CB649C" w:rsidP="00CB649C">
      <w:pPr>
        <w:pStyle w:val="List-content"/>
        <w:numPr>
          <w:ilvl w:val="0"/>
          <w:numId w:val="0"/>
        </w:numPr>
        <w:ind w:left="426"/>
      </w:pPr>
    </w:p>
    <w:p w14:paraId="18842DCC" w14:textId="2B46E1CB" w:rsidR="00E84DA3" w:rsidRPr="00E84DA3" w:rsidRDefault="00E84DA3" w:rsidP="00CB649C">
      <w:pPr>
        <w:pStyle w:val="List-content"/>
        <w:numPr>
          <w:ilvl w:val="0"/>
          <w:numId w:val="6"/>
        </w:numPr>
        <w:ind w:left="142" w:hanging="284"/>
        <w:rPr>
          <w:b/>
          <w:bCs/>
        </w:rPr>
      </w:pPr>
      <w:r w:rsidRPr="00CB649C">
        <w:rPr>
          <w:b/>
          <w:bCs/>
        </w:rPr>
        <w:t>Financial</w:t>
      </w:r>
      <w:r w:rsidRPr="00E84DA3">
        <w:rPr>
          <w:b/>
          <w:bCs/>
        </w:rPr>
        <w:t xml:space="preserve"> Costs:</w:t>
      </w:r>
    </w:p>
    <w:p w14:paraId="2B772A79" w14:textId="21DD9F30" w:rsidR="00870601" w:rsidRPr="00CB649C" w:rsidRDefault="00E84DA3" w:rsidP="00CB649C">
      <w:pPr>
        <w:pStyle w:val="List-content"/>
        <w:numPr>
          <w:ilvl w:val="0"/>
          <w:numId w:val="11"/>
        </w:numPr>
        <w:ind w:left="426" w:hanging="426"/>
      </w:pPr>
      <w:r w:rsidRPr="00CB649C">
        <w:t>Maintaining outdated systems, especially those requiring extended support, incurs significant costs. These include not only direct expenses such as higher service fees and potential non-compliance penalties but also indirect costs like lost opportunities for more efficient resource allocation.</w:t>
      </w:r>
    </w:p>
    <w:p w14:paraId="4C1D6559" w14:textId="5C064591" w:rsidR="00CB649C" w:rsidRPr="00CB649C" w:rsidRDefault="00CB649C" w:rsidP="00CB649C">
      <w:pPr>
        <w:pStyle w:val="List-content"/>
        <w:numPr>
          <w:ilvl w:val="0"/>
          <w:numId w:val="11"/>
        </w:numPr>
        <w:ind w:left="426" w:hanging="426"/>
      </w:pPr>
      <w:r w:rsidRPr="00CB649C">
        <w:lastRenderedPageBreak/>
        <w:t>Analysis of current resource usage versus output clearly shows a mismatch, particularly with EC2 instances where we are incurring expenses for capacity that is largely underutilized.</w:t>
      </w:r>
    </w:p>
    <w:p w14:paraId="367DFC8F" w14:textId="02B99959" w:rsidR="00E16BAC" w:rsidRDefault="00E16BAC" w:rsidP="00E60402"/>
    <w:p w14:paraId="2265D436" w14:textId="77777777" w:rsidR="00CB649C" w:rsidRDefault="00CB649C" w:rsidP="00E60402"/>
    <w:p w14:paraId="709DC2D5" w14:textId="77777777" w:rsidR="00CB649C" w:rsidRPr="00CB649C" w:rsidRDefault="00CB649C" w:rsidP="00CB649C">
      <w:pPr>
        <w:pStyle w:val="sub-heading2"/>
      </w:pPr>
      <w:r w:rsidRPr="00CB649C">
        <w:t>Advantages of Decommissioning Over Upgrading</w:t>
      </w:r>
    </w:p>
    <w:p w14:paraId="6F485399" w14:textId="77777777" w:rsidR="00CB649C" w:rsidRDefault="00CB649C" w:rsidP="00CB649C">
      <w:pPr>
        <w:pStyle w:val="Style1-content"/>
      </w:pPr>
      <w:r>
        <w:t>Decommissioning our outdated infrastructure instead of merely upgrading offers several strategic advantages:</w:t>
      </w:r>
    </w:p>
    <w:p w14:paraId="6F276ABE" w14:textId="77777777" w:rsidR="00CB649C" w:rsidRDefault="00CB649C" w:rsidP="00CB649C">
      <w:pPr>
        <w:pStyle w:val="Style1-content"/>
      </w:pPr>
    </w:p>
    <w:p w14:paraId="67793256" w14:textId="2A7AC50E" w:rsidR="00CB649C" w:rsidRDefault="00CB649C" w:rsidP="00CB649C">
      <w:pPr>
        <w:pStyle w:val="List-content"/>
        <w:numPr>
          <w:ilvl w:val="0"/>
          <w:numId w:val="16"/>
        </w:numPr>
      </w:pPr>
      <w:r>
        <w:rPr>
          <w:rFonts w:ascii="System Font" w:hAnsi="System Font" w:cs="System Font"/>
          <w:b/>
          <w:bCs/>
        </w:rPr>
        <w:t>Complete Risk Elimination:</w:t>
      </w:r>
      <w:r>
        <w:t xml:space="preserve"> Decommissioning ensures that all legacy vulnerabilities, especially those tied to old configurations and outdated practices (like unencrypted EBS volumes), are completely removed from the environment.</w:t>
      </w:r>
    </w:p>
    <w:p w14:paraId="16625F0E" w14:textId="77777777" w:rsidR="00CB649C" w:rsidRDefault="00CB649C" w:rsidP="00CB649C">
      <w:pPr>
        <w:pStyle w:val="List-content"/>
        <w:numPr>
          <w:ilvl w:val="0"/>
          <w:numId w:val="16"/>
        </w:numPr>
      </w:pPr>
      <w:r>
        <w:rPr>
          <w:rFonts w:ascii="System Font" w:hAnsi="System Font" w:cs="System Font"/>
          <w:b/>
          <w:bCs/>
        </w:rPr>
        <w:t>Operational Simplification</w:t>
      </w:r>
      <w:r>
        <w:t>: Streamlining our infrastructure reduces complexity and the associated management overhead, allowing our teams to focus on strategic initiatives rather than constant maintenance.</w:t>
      </w:r>
    </w:p>
    <w:p w14:paraId="38A18F7B" w14:textId="7A0A07F6" w:rsidR="00CB649C" w:rsidRPr="00CB649C" w:rsidRDefault="00CB649C" w:rsidP="00CB649C">
      <w:pPr>
        <w:pStyle w:val="List-content"/>
        <w:numPr>
          <w:ilvl w:val="0"/>
          <w:numId w:val="16"/>
        </w:numPr>
      </w:pPr>
      <w:r>
        <w:rPr>
          <w:rFonts w:ascii="System Font" w:hAnsi="System Font" w:cs="System Font"/>
          <w:b/>
          <w:bCs/>
        </w:rPr>
        <w:t>Cost Efficiency</w:t>
      </w:r>
      <w:r>
        <w:t>: Decommissioning frees up financial resources currently locked in inefficient uses, enabling investment in technologies that provide better returns and operational capabilities.</w:t>
      </w:r>
    </w:p>
    <w:p w14:paraId="0946CD98" w14:textId="77777777" w:rsidR="00CB649C" w:rsidRDefault="00CB649C" w:rsidP="00CB649C">
      <w:pPr>
        <w:rPr>
          <w:rFonts w:ascii="Helvetica Neue" w:hAnsi="Helvetica Neue" w:cs="Helvetica Neue"/>
          <w:color w:val="0C0C0C"/>
          <w:kern w:val="0"/>
          <w:sz w:val="32"/>
          <w:szCs w:val="32"/>
        </w:rPr>
      </w:pPr>
    </w:p>
    <w:p w14:paraId="0AA227D8" w14:textId="110FA676" w:rsidR="00CB649C" w:rsidRPr="00CB649C" w:rsidRDefault="00CB649C" w:rsidP="00CB649C">
      <w:pPr>
        <w:pStyle w:val="sub-heading2"/>
      </w:pPr>
      <w:r w:rsidRPr="00CB649C">
        <w:t xml:space="preserve">Points to </w:t>
      </w:r>
      <w:r>
        <w:t>Consider</w:t>
      </w:r>
      <w:r w:rsidRPr="00CB649C">
        <w:t xml:space="preserve"> While Upgrading</w:t>
      </w:r>
    </w:p>
    <w:p w14:paraId="121502A7" w14:textId="4B136E60" w:rsidR="00CB649C" w:rsidRDefault="00CB649C" w:rsidP="00CB649C">
      <w:pPr>
        <w:pStyle w:val="Style1-content"/>
      </w:pPr>
      <w:r>
        <w:t>If upgrading parts of the infrastructure is determined to be more feasible than a full decommissioning, the following points should be considered to ensure a successful upgrade:</w:t>
      </w:r>
    </w:p>
    <w:p w14:paraId="5A473558" w14:textId="77777777" w:rsidR="00CB649C" w:rsidRDefault="00CB649C" w:rsidP="00CB649C">
      <w:pPr>
        <w:pStyle w:val="Style1-content"/>
      </w:pPr>
    </w:p>
    <w:p w14:paraId="54ECB92E" w14:textId="77777777" w:rsidR="00CB649C" w:rsidRDefault="00CB649C" w:rsidP="00CB649C">
      <w:pPr>
        <w:pStyle w:val="List-content"/>
        <w:ind w:left="426"/>
      </w:pPr>
      <w:r>
        <w:rPr>
          <w:rFonts w:ascii="System Font" w:hAnsi="System Font" w:cs="System Font"/>
          <w:b/>
          <w:bCs/>
        </w:rPr>
        <w:t>Data Protection:</w:t>
      </w:r>
      <w:r>
        <w:t xml:space="preserve"> Prioritize the encryption of all data, particularly when dealing with EBS volumes and snapshots. Implement encryption at rest and in transit as standard practices.</w:t>
      </w:r>
    </w:p>
    <w:p w14:paraId="1888F3C7" w14:textId="77777777" w:rsidR="00CB649C" w:rsidRDefault="00CB649C" w:rsidP="00CB649C">
      <w:pPr>
        <w:pStyle w:val="List-content"/>
        <w:ind w:left="426"/>
      </w:pPr>
      <w:r>
        <w:rPr>
          <w:rFonts w:ascii="System Font" w:hAnsi="System Font" w:cs="System Font"/>
          <w:b/>
          <w:bCs/>
        </w:rPr>
        <w:t>Access Control:</w:t>
      </w:r>
      <w:r>
        <w:t xml:space="preserve"> Revise all access policies to adhere strictly to the principle of least privilege. Regular audits should be implemented to ensure compliance and to adjust permissions based on evolving business needs and threats.</w:t>
      </w:r>
    </w:p>
    <w:p w14:paraId="58FCD981" w14:textId="77777777" w:rsidR="00CB649C" w:rsidRDefault="00CB649C" w:rsidP="00CB649C">
      <w:pPr>
        <w:pStyle w:val="List-content"/>
        <w:ind w:left="426"/>
      </w:pPr>
      <w:r>
        <w:rPr>
          <w:rFonts w:ascii="System Font" w:hAnsi="System Font" w:cs="System Font"/>
          <w:b/>
          <w:bCs/>
        </w:rPr>
        <w:t>Compatibility Checks:</w:t>
      </w:r>
      <w:r>
        <w:t xml:space="preserve"> Ensure that all upgrades are compatible with existing applications and services. Conduct thorough testing in a controlled environment to identify and resolve compatibility issues before full deployment.</w:t>
      </w:r>
    </w:p>
    <w:p w14:paraId="3F35E162" w14:textId="77311D40" w:rsidR="00CB649C" w:rsidRDefault="00CB649C" w:rsidP="00CB649C">
      <w:pPr>
        <w:pStyle w:val="List-content"/>
        <w:ind w:left="426"/>
      </w:pPr>
      <w:r>
        <w:rPr>
          <w:rFonts w:ascii="System Font" w:hAnsi="System Font" w:cs="System Font"/>
          <w:b/>
          <w:bCs/>
        </w:rPr>
        <w:t>Monitoring and Response:</w:t>
      </w:r>
      <w:r>
        <w:t xml:space="preserve"> Enhance monitoring capabilities to detect unusual activities early. Establish robust incident response plans to address potential security threats quickly and effectively.</w:t>
      </w:r>
    </w:p>
    <w:sectPr w:rsidR="00CB64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6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1E128C"/>
    <w:multiLevelType w:val="hybridMultilevel"/>
    <w:tmpl w:val="A0627D24"/>
    <w:lvl w:ilvl="0" w:tplc="08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1622AE8"/>
    <w:multiLevelType w:val="hybridMultilevel"/>
    <w:tmpl w:val="C1F4291A"/>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D7704C6"/>
    <w:multiLevelType w:val="hybridMultilevel"/>
    <w:tmpl w:val="1BBC5670"/>
    <w:lvl w:ilvl="0" w:tplc="08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B226E84"/>
    <w:multiLevelType w:val="hybridMultilevel"/>
    <w:tmpl w:val="C4BABF44"/>
    <w:lvl w:ilvl="0" w:tplc="08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D970340"/>
    <w:multiLevelType w:val="hybridMultilevel"/>
    <w:tmpl w:val="15FA95E6"/>
    <w:lvl w:ilvl="0" w:tplc="84A63AFE">
      <w:start w:val="1"/>
      <w:numFmt w:val="bullet"/>
      <w:pStyle w:val="List-content"/>
      <w:lvlText w:val="•"/>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C73E07"/>
    <w:multiLevelType w:val="hybridMultilevel"/>
    <w:tmpl w:val="88BAAE52"/>
    <w:lvl w:ilvl="0" w:tplc="08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C7144DC"/>
    <w:multiLevelType w:val="hybridMultilevel"/>
    <w:tmpl w:val="96F810B4"/>
    <w:lvl w:ilvl="0" w:tplc="08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E953B52"/>
    <w:multiLevelType w:val="hybridMultilevel"/>
    <w:tmpl w:val="DC7E5FE8"/>
    <w:lvl w:ilvl="0" w:tplc="08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82231081">
    <w:abstractNumId w:val="5"/>
  </w:num>
  <w:num w:numId="2" w16cid:durableId="772633482">
    <w:abstractNumId w:val="0"/>
  </w:num>
  <w:num w:numId="3" w16cid:durableId="1306812289">
    <w:abstractNumId w:val="5"/>
  </w:num>
  <w:num w:numId="4" w16cid:durableId="1680350811">
    <w:abstractNumId w:val="6"/>
  </w:num>
  <w:num w:numId="5" w16cid:durableId="644433979">
    <w:abstractNumId w:val="1"/>
  </w:num>
  <w:num w:numId="6" w16cid:durableId="789861196">
    <w:abstractNumId w:val="2"/>
  </w:num>
  <w:num w:numId="7" w16cid:durableId="847409465">
    <w:abstractNumId w:val="5"/>
  </w:num>
  <w:num w:numId="8" w16cid:durableId="319967158">
    <w:abstractNumId w:val="5"/>
  </w:num>
  <w:num w:numId="9" w16cid:durableId="2111587094">
    <w:abstractNumId w:val="8"/>
  </w:num>
  <w:num w:numId="10" w16cid:durableId="1277878">
    <w:abstractNumId w:val="7"/>
  </w:num>
  <w:num w:numId="11" w16cid:durableId="335306727">
    <w:abstractNumId w:val="4"/>
  </w:num>
  <w:num w:numId="12" w16cid:durableId="1557161319">
    <w:abstractNumId w:val="5"/>
  </w:num>
  <w:num w:numId="13" w16cid:durableId="1374037661">
    <w:abstractNumId w:val="5"/>
  </w:num>
  <w:num w:numId="14" w16cid:durableId="580412139">
    <w:abstractNumId w:val="5"/>
  </w:num>
  <w:num w:numId="15" w16cid:durableId="1439445886">
    <w:abstractNumId w:val="5"/>
  </w:num>
  <w:num w:numId="16" w16cid:durableId="11909503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402"/>
    <w:rsid w:val="003C3F09"/>
    <w:rsid w:val="005B03EF"/>
    <w:rsid w:val="005E49C8"/>
    <w:rsid w:val="00870601"/>
    <w:rsid w:val="008C5AAA"/>
    <w:rsid w:val="00983C3C"/>
    <w:rsid w:val="00CB649C"/>
    <w:rsid w:val="00D1290B"/>
    <w:rsid w:val="00D638DB"/>
    <w:rsid w:val="00DF0377"/>
    <w:rsid w:val="00E16BAC"/>
    <w:rsid w:val="00E60402"/>
    <w:rsid w:val="00E84DA3"/>
    <w:rsid w:val="00EA49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8A809FD"/>
  <w15:chartTrackingRefBased/>
  <w15:docId w15:val="{E9A4406C-3651-0749-A97D-10B6D4766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377"/>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DF0377"/>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E604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04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4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40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40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40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40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Heading1"/>
    <w:qFormat/>
    <w:rsid w:val="00870601"/>
    <w:pPr>
      <w:jc w:val="both"/>
    </w:pPr>
    <w:rPr>
      <w:b/>
      <w:color w:val="000000" w:themeColor="text1"/>
      <w:sz w:val="40"/>
    </w:rPr>
  </w:style>
  <w:style w:type="paragraph" w:customStyle="1" w:styleId="SubHeading">
    <w:name w:val="Sub Heading"/>
    <w:basedOn w:val="Heading2"/>
    <w:qFormat/>
    <w:rsid w:val="00DF0377"/>
    <w:rPr>
      <w:rFonts w:ascii="Segoe UI" w:hAnsi="Segoe UI"/>
      <w:b/>
      <w:color w:val="000000" w:themeColor="text1"/>
      <w:sz w:val="32"/>
    </w:rPr>
  </w:style>
  <w:style w:type="paragraph" w:customStyle="1" w:styleId="Style1-content">
    <w:name w:val="Style1-content"/>
    <w:basedOn w:val="Normal"/>
    <w:qFormat/>
    <w:rsid w:val="00870601"/>
    <w:pPr>
      <w:jc w:val="both"/>
    </w:pPr>
    <w:rPr>
      <w:sz w:val="28"/>
    </w:rPr>
  </w:style>
  <w:style w:type="character" w:customStyle="1" w:styleId="Heading1Char">
    <w:name w:val="Heading 1 Char"/>
    <w:basedOn w:val="DefaultParagraphFont"/>
    <w:link w:val="Heading1"/>
    <w:uiPriority w:val="9"/>
    <w:rsid w:val="00DF0377"/>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semiHidden/>
    <w:rsid w:val="00DF0377"/>
    <w:rPr>
      <w:rFonts w:asciiTheme="majorHAnsi" w:eastAsiaTheme="majorEastAsia" w:hAnsiTheme="majorHAnsi" w:cstheme="majorBidi"/>
      <w:color w:val="0F4761" w:themeColor="accent1" w:themeShade="BF"/>
      <w:sz w:val="26"/>
      <w:szCs w:val="26"/>
    </w:rPr>
  </w:style>
  <w:style w:type="paragraph" w:customStyle="1" w:styleId="sub-heading2">
    <w:name w:val="sub- heading 2"/>
    <w:basedOn w:val="SubHeading"/>
    <w:qFormat/>
    <w:rsid w:val="00E84DA3"/>
    <w:pPr>
      <w:jc w:val="both"/>
    </w:pPr>
    <w:rPr>
      <w:rFonts w:asciiTheme="minorHAnsi" w:hAnsiTheme="minorHAnsi"/>
    </w:rPr>
  </w:style>
  <w:style w:type="paragraph" w:customStyle="1" w:styleId="List-content">
    <w:name w:val="List-content"/>
    <w:basedOn w:val="Normal"/>
    <w:qFormat/>
    <w:rsid w:val="00E84DA3"/>
    <w:pPr>
      <w:numPr>
        <w:numId w:val="1"/>
      </w:numPr>
      <w:jc w:val="both"/>
    </w:pPr>
    <w:rPr>
      <w:sz w:val="28"/>
    </w:rPr>
  </w:style>
  <w:style w:type="character" w:customStyle="1" w:styleId="Heading3Char">
    <w:name w:val="Heading 3 Char"/>
    <w:basedOn w:val="DefaultParagraphFont"/>
    <w:link w:val="Heading3"/>
    <w:uiPriority w:val="9"/>
    <w:semiHidden/>
    <w:rsid w:val="00E604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04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4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4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4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4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402"/>
    <w:rPr>
      <w:rFonts w:eastAsiaTheme="majorEastAsia" w:cstheme="majorBidi"/>
      <w:color w:val="272727" w:themeColor="text1" w:themeTint="D8"/>
    </w:rPr>
  </w:style>
  <w:style w:type="paragraph" w:styleId="Title">
    <w:name w:val="Title"/>
    <w:basedOn w:val="Normal"/>
    <w:next w:val="Normal"/>
    <w:link w:val="TitleChar"/>
    <w:uiPriority w:val="10"/>
    <w:qFormat/>
    <w:rsid w:val="00E6040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4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40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4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40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60402"/>
    <w:rPr>
      <w:i/>
      <w:iCs/>
      <w:color w:val="404040" w:themeColor="text1" w:themeTint="BF"/>
    </w:rPr>
  </w:style>
  <w:style w:type="paragraph" w:styleId="ListParagraph">
    <w:name w:val="List Paragraph"/>
    <w:basedOn w:val="Normal"/>
    <w:uiPriority w:val="34"/>
    <w:qFormat/>
    <w:rsid w:val="00E60402"/>
    <w:pPr>
      <w:ind w:left="720"/>
      <w:contextualSpacing/>
    </w:pPr>
  </w:style>
  <w:style w:type="character" w:styleId="IntenseEmphasis">
    <w:name w:val="Intense Emphasis"/>
    <w:basedOn w:val="DefaultParagraphFont"/>
    <w:uiPriority w:val="21"/>
    <w:qFormat/>
    <w:rsid w:val="00E60402"/>
    <w:rPr>
      <w:i/>
      <w:iCs/>
      <w:color w:val="0F4761" w:themeColor="accent1" w:themeShade="BF"/>
    </w:rPr>
  </w:style>
  <w:style w:type="paragraph" w:styleId="IntenseQuote">
    <w:name w:val="Intense Quote"/>
    <w:basedOn w:val="Normal"/>
    <w:next w:val="Normal"/>
    <w:link w:val="IntenseQuoteChar"/>
    <w:uiPriority w:val="30"/>
    <w:qFormat/>
    <w:rsid w:val="00E604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402"/>
    <w:rPr>
      <w:i/>
      <w:iCs/>
      <w:color w:val="0F4761" w:themeColor="accent1" w:themeShade="BF"/>
    </w:rPr>
  </w:style>
  <w:style w:type="character" w:styleId="IntenseReference">
    <w:name w:val="Intense Reference"/>
    <w:basedOn w:val="DefaultParagraphFont"/>
    <w:uiPriority w:val="32"/>
    <w:qFormat/>
    <w:rsid w:val="00E604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4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dc:creator>
  <cp:keywords/>
  <dc:description/>
  <cp:lastModifiedBy>Kiran G</cp:lastModifiedBy>
  <cp:revision>1</cp:revision>
  <dcterms:created xsi:type="dcterms:W3CDTF">2024-06-03T13:59:00Z</dcterms:created>
  <dcterms:modified xsi:type="dcterms:W3CDTF">2024-06-03T14:41:00Z</dcterms:modified>
</cp:coreProperties>
</file>