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A2744"/>
          <w:sz w:val="32"/>
          <w:szCs w:val="32"/>
        </w:rPr>
        <w:t xml:space="preserve">ITSM-Oryfolks</w:t>
      </w:r>
    </w:p>
    <w:p>
      <w:pPr>
        <w:spacing w:after="100" w:before="100"/>
        <w:jc w:val="center"/>
      </w:pPr>
      <w:r>
        <w:rPr>
          <w:b/>
          <w:bCs/>
          <w:color w:val="4472C4"/>
          <w:sz w:val="24"/>
          <w:szCs w:val="24"/>
        </w:rPr>
        <w:t xml:space="preserve">ENTERPRISE IT SERVICE MANAGEMENT PLATFORM</w:t>
      </w:r>
    </w:p>
    <w:p>
      <w:pPr>
        <w:spacing w:before="500"/>
      </w:pPr>
    </w:p>
    <w:p>
      <w:pPr>
        <w:jc w:val="center"/>
      </w:pPr>
      <w:r>
        <w:rPr>
          <w:b/>
          <w:bCs/>
          <w:color w:val="1A2744"/>
          <w:sz w:val="50"/>
          <w:szCs w:val="50"/>
        </w:rPr>
        <w:t xml:space="preserve">Business &amp; Functional</w:t>
      </w:r>
    </w:p>
    <w:p>
      <w:pPr>
        <w:jc w:val="center"/>
      </w:pPr>
      <w:r>
        <w:rPr>
          <w:b/>
          <w:bCs/>
          <w:color w:val="1A2744"/>
          <w:sz w:val="50"/>
          <w:szCs w:val="50"/>
        </w:rPr>
        <w:t xml:space="preserve">Requirements Document</w:t>
      </w:r>
    </w:p>
    <w:p>
      <w:pPr>
        <w:spacing w:after="100" w:before="160"/>
        <w:jc w:val="center"/>
      </w:pPr>
      <w:r>
        <w:rPr>
          <w:color w:val="595959"/>
          <w:sz w:val="24"/>
          <w:szCs w:val="24"/>
        </w:rPr>
        <w:t xml:space="preserve">Incident · Problem · Change · Knowledge · Request Management · Service Catalog</w:t>
      </w:r>
    </w:p>
    <w:p>
      <w:pPr>
        <w:spacing w:before="1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cantSplit/>
          <w:tblHeader/>
        </w:trPr>
        <w:tc>
          <w:tcPr>
            <w:tcW w:type="dxa" w:w="3200"/>
            <w:shd w:fill="1A2744" w:val="clear"/>
            <w:tcMar>
              <w:top w:type="dxa" w:w="100"/>
              <w:left w:type="dxa" w:w="120"/>
              <w:bottom w:type="dxa" w:w="100"/>
              <w:right w:type="dxa" w:w="120"/>
            </w:tcMar>
            <w:vAlign w:val="center"/>
          </w:tcPr>
          <w:p>
            <w:r>
              <w:rPr>
                <w:b/>
                <w:bCs/>
                <w:color w:val="FFFFFF"/>
                <w:sz w:val="19"/>
                <w:szCs w:val="19"/>
              </w:rPr>
              <w:t xml:space="preserve">Field</w:t>
            </w:r>
          </w:p>
        </w:tc>
        <w:tc>
          <w:tcPr>
            <w:tcW w:type="dxa" w:w="6200"/>
            <w:shd w:fill="1A2744" w:val="clear"/>
            <w:tcMar>
              <w:top w:type="dxa" w:w="100"/>
              <w:left w:type="dxa" w:w="120"/>
              <w:bottom w:type="dxa" w:w="100"/>
              <w:right w:type="dxa" w:w="120"/>
            </w:tcMar>
            <w:vAlign w:val="center"/>
          </w:tcPr>
          <w:p>
            <w:r>
              <w:rPr>
                <w:b/>
                <w:bCs/>
                <w:color w:val="FFFFFF"/>
                <w:sz w:val="19"/>
                <w:szCs w:val="19"/>
              </w:rPr>
              <w:t xml:space="preserve">Details</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Document Title</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ITSM-Oryfolks — Business &amp; Functional Requirements Document</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Project</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ITSM-Oryfolks</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Modules Covered</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Incident Management, Problem Management, Change Management, Knowledge Management, Request Management, Service Catalog</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Document Version</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1.0</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Status</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Draft — For Review</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Prepared For</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Developers, Business Analysts, Project Stakeholders, and Customer</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Classification</w:t>
            </w:r>
          </w:p>
        </w:tc>
        <w:tc>
          <w:tcPr>
            <w:tcW w:type="dxa" w:w="6200"/>
            <w:tcMar>
              <w:top w:type="dxa" w:w="90"/>
              <w:left w:type="dxa" w:w="120"/>
              <w:bottom w:type="dxa" w:w="90"/>
              <w:right w:type="dxa" w:w="120"/>
            </w:tcMar>
            <w:vAlign w:val="center"/>
          </w:tcPr>
          <w:p>
            <w:pPr>
              <w:spacing w:after="40"/>
            </w:pPr>
            <w:r>
              <w:rPr>
                <w:b w:val="false"/>
                <w:bCs w:val="false"/>
                <w:color w:val="222222"/>
                <w:sz w:val="19"/>
                <w:szCs w:val="19"/>
              </w:rPr>
              <w:t xml:space="preserve">Internal / Confidential</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A2744" w:sz="6" w:space="4"/>
        </w:pBdr>
        <w:spacing w:after="200" w:before="400"/>
      </w:pPr>
      <w:r>
        <w:rPr>
          <w:b/>
          <w:bCs/>
          <w:color w:val="1A2744"/>
          <w:sz w:val="30"/>
          <w:szCs w:val="30"/>
        </w:rPr>
        <w:t xml:space="preserve">Document Control</w:t>
      </w:r>
    </w:p>
    <w:p>
      <w:pPr>
        <w:pStyle w:val="Heading2"/>
        <w:spacing w:after="140" w:before="280"/>
      </w:pPr>
      <w:r>
        <w:rPr>
          <w:b/>
          <w:bCs/>
          <w:color w:val="4472C4"/>
          <w:sz w:val="24"/>
          <w:szCs w:val="24"/>
        </w:rP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3800"/>
      </w:tblGrid>
      <w:tr>
        <w:trPr>
          <w:cantSplit/>
          <w:tblHeader/>
        </w:trPr>
        <w:tc>
          <w:tcPr>
            <w:tcW w:type="dxa" w:w="1400"/>
            <w:shd w:fill="1A2744" w:val="clear"/>
            <w:tcMar>
              <w:top w:type="dxa" w:w="100"/>
              <w:left w:type="dxa" w:w="120"/>
              <w:bottom w:type="dxa" w:w="100"/>
              <w:right w:type="dxa" w:w="120"/>
            </w:tcMar>
            <w:vAlign w:val="center"/>
          </w:tcPr>
          <w:p>
            <w:r>
              <w:rPr>
                <w:b/>
                <w:bCs/>
                <w:color w:val="FFFFFF"/>
                <w:sz w:val="19"/>
                <w:szCs w:val="19"/>
              </w:rPr>
              <w:t xml:space="preserve">Version</w:t>
            </w:r>
          </w:p>
        </w:tc>
        <w:tc>
          <w:tcPr>
            <w:tcW w:type="dxa" w:w="1600"/>
            <w:shd w:fill="1A2744" w:val="clear"/>
            <w:tcMar>
              <w:top w:type="dxa" w:w="100"/>
              <w:left w:type="dxa" w:w="120"/>
              <w:bottom w:type="dxa" w:w="100"/>
              <w:right w:type="dxa" w:w="120"/>
            </w:tcMar>
            <w:vAlign w:val="center"/>
          </w:tcPr>
          <w:p>
            <w:r>
              <w:rPr>
                <w:b/>
                <w:bCs/>
                <w:color w:val="FFFFFF"/>
                <w:sz w:val="19"/>
                <w:szCs w:val="19"/>
              </w:rPr>
              <w:t xml:space="preserve">Date</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Author</w:t>
            </w:r>
          </w:p>
        </w:tc>
        <w:tc>
          <w:tcPr>
            <w:tcW w:type="dxa" w:w="3800"/>
            <w:shd w:fill="1A2744" w:val="clear"/>
            <w:tcMar>
              <w:top w:type="dxa" w:w="100"/>
              <w:left w:type="dxa" w:w="120"/>
              <w:bottom w:type="dxa" w:w="100"/>
              <w:right w:type="dxa" w:w="120"/>
            </w:tcMar>
            <w:vAlign w:val="center"/>
          </w:tcPr>
          <w:p>
            <w:r>
              <w:rPr>
                <w:b/>
                <w:bCs/>
                <w:color w:val="FFFFFF"/>
                <w:sz w:val="19"/>
                <w:szCs w:val="19"/>
              </w:rPr>
              <w:t xml:space="preserve">Description of Change</w:t>
            </w:r>
          </w:p>
        </w:tc>
      </w:tr>
      <w:tr>
        <w:trPr>
          <w:cantSplit/>
        </w:trPr>
        <w:tc>
          <w:tcPr>
            <w:tcW w:type="dxa" w:w="1400"/>
            <w:tcMar>
              <w:top w:type="dxa" w:w="90"/>
              <w:left w:type="dxa" w:w="120"/>
              <w:bottom w:type="dxa" w:w="90"/>
              <w:right w:type="dxa" w:w="120"/>
            </w:tcMar>
            <w:vAlign w:val="center"/>
          </w:tcPr>
          <w:p>
            <w:pPr>
              <w:spacing w:after="40"/>
            </w:pPr>
            <w:r>
              <w:rPr>
                <w:b w:val="false"/>
                <w:bCs w:val="false"/>
                <w:color w:val="222222"/>
                <w:sz w:val="19"/>
                <w:szCs w:val="19"/>
              </w:rPr>
              <w:t xml:space="preserve">0.1</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TBD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Business Analyst</w:t>
            </w:r>
          </w:p>
        </w:tc>
        <w:tc>
          <w:tcPr>
            <w:tcW w:type="dxa" w:w="3800"/>
            <w:tcMar>
              <w:top w:type="dxa" w:w="90"/>
              <w:left w:type="dxa" w:w="120"/>
              <w:bottom w:type="dxa" w:w="90"/>
              <w:right w:type="dxa" w:w="120"/>
            </w:tcMar>
            <w:vAlign w:val="center"/>
          </w:tcPr>
          <w:p>
            <w:pPr>
              <w:spacing w:after="40"/>
            </w:pPr>
            <w:r>
              <w:rPr>
                <w:b w:val="false"/>
                <w:bCs w:val="false"/>
                <w:color w:val="222222"/>
                <w:sz w:val="19"/>
                <w:szCs w:val="19"/>
              </w:rPr>
              <w:t xml:space="preserve">Initial draft covering all six modules</w:t>
            </w:r>
          </w:p>
        </w:tc>
      </w:tr>
      <w:tr>
        <w:trPr>
          <w:cantSplit/>
        </w:trPr>
        <w:tc>
          <w:tcPr>
            <w:tcW w:type="dxa" w:w="1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1.0</w:t>
            </w:r>
          </w:p>
        </w:tc>
        <w:tc>
          <w:tcPr>
            <w:tcW w:type="dxa" w:w="1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TBD</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Business Analyst</w:t>
            </w:r>
          </w:p>
        </w:tc>
        <w:tc>
          <w:tcPr>
            <w:tcW w:type="dxa" w:w="3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Reviewed and baselined for development</w:t>
            </w:r>
          </w:p>
        </w:tc>
      </w:tr>
    </w:tbl>
    <w:p>
      <w:pPr>
        <w:spacing w:after="120"/>
      </w:pPr>
    </w:p>
    <w:p>
      <w:pPr>
        <w:pStyle w:val="Heading2"/>
        <w:spacing w:after="140" w:before="280"/>
      </w:pPr>
      <w:r>
        <w:rPr>
          <w:b/>
          <w:bCs/>
          <w:color w:val="4472C4"/>
          <w:sz w:val="24"/>
          <w:szCs w:val="24"/>
        </w:rPr>
        <w:t xml:space="preserve">Approvals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2000"/>
      </w:tblGrid>
      <w:tr>
        <w:trPr>
          <w:cantSplit/>
          <w:tblHeader/>
        </w:trPr>
        <w:tc>
          <w:tcPr>
            <w:tcW w:type="dxa" w:w="2800"/>
            <w:shd w:fill="1A2744" w:val="clear"/>
            <w:tcMar>
              <w:top w:type="dxa" w:w="100"/>
              <w:left w:type="dxa" w:w="120"/>
              <w:bottom w:type="dxa" w:w="100"/>
              <w:right w:type="dxa" w:w="120"/>
            </w:tcMar>
            <w:vAlign w:val="center"/>
          </w:tcPr>
          <w:p>
            <w:r>
              <w:rPr>
                <w:b/>
                <w:bCs/>
                <w:color w:val="FFFFFF"/>
                <w:sz w:val="19"/>
                <w:szCs w:val="19"/>
              </w:rPr>
              <w:t xml:space="preserve">Role</w:t>
            </w:r>
          </w:p>
        </w:tc>
        <w:tc>
          <w:tcPr>
            <w:tcW w:type="dxa" w:w="2800"/>
            <w:shd w:fill="1A2744" w:val="clear"/>
            <w:tcMar>
              <w:top w:type="dxa" w:w="100"/>
              <w:left w:type="dxa" w:w="120"/>
              <w:bottom w:type="dxa" w:w="100"/>
              <w:right w:type="dxa" w:w="120"/>
            </w:tcMar>
            <w:vAlign w:val="center"/>
          </w:tcPr>
          <w:p>
            <w:r>
              <w:rPr>
                <w:b/>
                <w:bCs/>
                <w:color w:val="FFFFFF"/>
                <w:sz w:val="19"/>
                <w:szCs w:val="19"/>
              </w:rPr>
              <w:t xml:space="preserve">Name</w:t>
            </w:r>
          </w:p>
        </w:tc>
        <w:tc>
          <w:tcPr>
            <w:tcW w:type="dxa" w:w="1800"/>
            <w:shd w:fill="1A2744" w:val="clear"/>
            <w:tcMar>
              <w:top w:type="dxa" w:w="100"/>
              <w:left w:type="dxa" w:w="120"/>
              <w:bottom w:type="dxa" w:w="100"/>
              <w:right w:type="dxa" w:w="120"/>
            </w:tcMar>
            <w:vAlign w:val="center"/>
          </w:tcPr>
          <w:p>
            <w:r>
              <w:rPr>
                <w:b/>
                <w:bCs/>
                <w:color w:val="FFFFFF"/>
                <w:sz w:val="19"/>
                <w:szCs w:val="19"/>
              </w:rPr>
              <w:t xml:space="preserve">Signature</w:t>
            </w:r>
          </w:p>
        </w:tc>
        <w:tc>
          <w:tcPr>
            <w:tcW w:type="dxa" w:w="2000"/>
            <w:shd w:fill="1A2744" w:val="clear"/>
            <w:tcMar>
              <w:top w:type="dxa" w:w="100"/>
              <w:left w:type="dxa" w:w="120"/>
              <w:bottom w:type="dxa" w:w="100"/>
              <w:right w:type="dxa" w:w="120"/>
            </w:tcMar>
            <w:vAlign w:val="center"/>
          </w:tcPr>
          <w:p>
            <w:r>
              <w:rPr>
                <w:b/>
                <w:bCs/>
                <w:color w:val="FFFFFF"/>
                <w:sz w:val="19"/>
                <w:szCs w:val="19"/>
              </w:rPr>
              <w:t xml:space="preserve">Date</w:t>
            </w:r>
          </w:p>
        </w:tc>
      </w:tr>
      <w:tr>
        <w:trPr>
          <w:cantSplit/>
        </w:trPr>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Product Owner / Customer</w:t>
            </w:r>
          </w:p>
        </w:tc>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1800"/>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2000"/>
            <w:tcMar>
              <w:top w:type="dxa" w:w="90"/>
              <w:left w:type="dxa" w:w="120"/>
              <w:bottom w:type="dxa" w:w="90"/>
              <w:right w:type="dxa" w:w="120"/>
            </w:tcMar>
            <w:vAlign w:val="center"/>
          </w:tcPr>
          <w:p>
            <w:pPr>
              <w:spacing w:after="40"/>
            </w:pPr>
            <w:r>
              <w:rPr>
                <w:b w:val="false"/>
                <w:bCs w:val="false"/>
                <w:color w:val="222222"/>
                <w:sz w:val="19"/>
                <w:szCs w:val="19"/>
              </w:rPr>
              <w:t xml:space="preserve"/>
            </w:r>
          </w:p>
        </w:tc>
      </w:tr>
      <w:tr>
        <w:trPr>
          <w:cantSplit/>
        </w:trPr>
        <w:tc>
          <w:tcPr>
            <w:tcW w:type="dxa" w:w="2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Business Analyst</w:t>
            </w:r>
          </w:p>
        </w:tc>
        <w:tc>
          <w:tcPr>
            <w:tcW w:type="dxa" w:w="2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1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2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w:r>
          </w:p>
        </w:tc>
      </w:tr>
      <w:tr>
        <w:trPr>
          <w:cantSplit/>
        </w:trPr>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Engineering Lead</w:t>
            </w:r>
          </w:p>
        </w:tc>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1800"/>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2000"/>
            <w:tcMar>
              <w:top w:type="dxa" w:w="90"/>
              <w:left w:type="dxa" w:w="120"/>
              <w:bottom w:type="dxa" w:w="90"/>
              <w:right w:type="dxa" w:w="120"/>
            </w:tcMar>
            <w:vAlign w:val="center"/>
          </w:tcPr>
          <w:p>
            <w:pPr>
              <w:spacing w:after="40"/>
            </w:pPr>
            <w:r>
              <w:rPr>
                <w:b w:val="false"/>
                <w:bCs w:val="false"/>
                <w:color w:val="222222"/>
                <w:sz w:val="19"/>
                <w:szCs w:val="19"/>
              </w:rPr>
              <w:t xml:space="preserve"/>
            </w:r>
          </w:p>
        </w:tc>
      </w:tr>
      <w:tr>
        <w:trPr>
          <w:cantSplit/>
        </w:trPr>
        <w:tc>
          <w:tcPr>
            <w:tcW w:type="dxa" w:w="2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QA Lead</w:t>
            </w:r>
          </w:p>
        </w:tc>
        <w:tc>
          <w:tcPr>
            <w:tcW w:type="dxa" w:w="2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1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w:r>
          </w:p>
        </w:tc>
        <w:tc>
          <w:tcPr>
            <w:tcW w:type="dxa" w:w="2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w:r>
          </w:p>
        </w:tc>
      </w:tr>
    </w:tbl>
    <w:p>
      <w:r>
        <w:br w:type="page"/>
      </w:r>
    </w:p>
    <w:p>
      <w:pPr>
        <w:pStyle w:val="Heading1"/>
        <w:pBdr>
          <w:bottom w:val="single" w:color="1A2744" w:sz="6" w:space="4"/>
        </w:pBdr>
        <w:spacing w:after="200" w:before="400"/>
      </w:pPr>
      <w:r>
        <w:rPr>
          <w:b/>
          <w:bCs/>
          <w:color w:val="1A2744"/>
          <w:sz w:val="30"/>
          <w:szCs w:val="30"/>
        </w:rPr>
        <w:t xml:space="preserve">Table of Contents</w:t>
      </w:r>
    </w:p>
    <w:p>
      <w:pPr>
        <w:tabs>
          <w:tab w:val="right" w:pos="9072" w:leader="dot"/>
        </w:tabs>
        <w:spacing w:after="110"/>
      </w:pPr>
      <w:r>
        <w:rPr>
          <w:color w:val="222222"/>
          <w:sz w:val="21"/>
          <w:szCs w:val="21"/>
        </w:rPr>
        <w:t xml:space="preserve">1. Introduction &amp; Purpose</w:t>
      </w:r>
      <w:r>
        <w:rPr>
          <w:color w:val="595959"/>
          <w:sz w:val="21"/>
          <w:szCs w:val="21"/>
        </w:rPr>
        <w:t xml:space="preserve">	4</w:t>
      </w:r>
    </w:p>
    <w:p>
      <w:pPr>
        <w:tabs>
          <w:tab w:val="right" w:pos="9072" w:leader="dot"/>
        </w:tabs>
        <w:spacing w:after="110"/>
      </w:pPr>
      <w:r>
        <w:rPr>
          <w:color w:val="222222"/>
          <w:sz w:val="21"/>
          <w:szCs w:val="21"/>
        </w:rPr>
        <w:t xml:space="preserve">2. Project Overview &amp; Business Objectives</w:t>
      </w:r>
      <w:r>
        <w:rPr>
          <w:color w:val="595959"/>
          <w:sz w:val="21"/>
          <w:szCs w:val="21"/>
        </w:rPr>
        <w:t xml:space="preserve">	4</w:t>
      </w:r>
    </w:p>
    <w:p>
      <w:pPr>
        <w:tabs>
          <w:tab w:val="right" w:pos="9072" w:leader="dot"/>
        </w:tabs>
        <w:spacing w:after="110"/>
      </w:pPr>
      <w:r>
        <w:rPr>
          <w:color w:val="222222"/>
          <w:sz w:val="21"/>
          <w:szCs w:val="21"/>
        </w:rPr>
        <w:t xml:space="preserve">3. Scope</w:t>
      </w:r>
      <w:r>
        <w:rPr>
          <w:color w:val="595959"/>
          <w:sz w:val="21"/>
          <w:szCs w:val="21"/>
        </w:rPr>
        <w:t xml:space="preserve">	4</w:t>
      </w:r>
    </w:p>
    <w:p>
      <w:pPr>
        <w:tabs>
          <w:tab w:val="right" w:pos="9072" w:leader="dot"/>
        </w:tabs>
        <w:spacing w:after="110"/>
      </w:pPr>
      <w:r>
        <w:rPr>
          <w:color w:val="222222"/>
          <w:sz w:val="21"/>
          <w:szCs w:val="21"/>
        </w:rPr>
        <w:t xml:space="preserve">4. Stakeholders &amp; Roles &amp; Responsibilities</w:t>
      </w:r>
      <w:r>
        <w:rPr>
          <w:color w:val="595959"/>
          <w:sz w:val="21"/>
          <w:szCs w:val="21"/>
        </w:rPr>
        <w:t xml:space="preserve">	5</w:t>
      </w:r>
    </w:p>
    <w:p>
      <w:pPr>
        <w:tabs>
          <w:tab w:val="right" w:pos="9072" w:leader="dot"/>
        </w:tabs>
        <w:spacing w:after="110"/>
      </w:pPr>
      <w:r>
        <w:rPr>
          <w:color w:val="222222"/>
          <w:sz w:val="21"/>
          <w:szCs w:val="21"/>
        </w:rPr>
        <w:t xml:space="preserve">5. Definitions &amp; Glossary</w:t>
      </w:r>
      <w:r>
        <w:rPr>
          <w:color w:val="595959"/>
          <w:sz w:val="21"/>
          <w:szCs w:val="21"/>
        </w:rPr>
        <w:t xml:space="preserve">	7</w:t>
      </w:r>
    </w:p>
    <w:p>
      <w:pPr>
        <w:tabs>
          <w:tab w:val="right" w:pos="9072" w:leader="dot"/>
        </w:tabs>
        <w:spacing w:after="110"/>
      </w:pPr>
      <w:r>
        <w:rPr>
          <w:color w:val="222222"/>
          <w:sz w:val="21"/>
          <w:szCs w:val="21"/>
        </w:rPr>
        <w:t xml:space="preserve">6. Solution Overview</w:t>
      </w:r>
      <w:r>
        <w:rPr>
          <w:color w:val="595959"/>
          <w:sz w:val="21"/>
          <w:szCs w:val="21"/>
        </w:rPr>
        <w:t xml:space="preserve">	7</w:t>
      </w:r>
    </w:p>
    <w:p>
      <w:pPr>
        <w:tabs>
          <w:tab w:val="right" w:pos="9072" w:leader="dot"/>
        </w:tabs>
        <w:spacing w:after="110"/>
      </w:pPr>
      <w:r>
        <w:rPr>
          <w:color w:val="222222"/>
          <w:sz w:val="21"/>
          <w:szCs w:val="21"/>
        </w:rPr>
        <w:t xml:space="preserve">7. Functional Requirements by Module</w:t>
      </w:r>
      <w:r>
        <w:rPr>
          <w:color w:val="595959"/>
          <w:sz w:val="21"/>
          <w:szCs w:val="21"/>
        </w:rPr>
        <w:t xml:space="preserve">	9</w:t>
      </w:r>
    </w:p>
    <w:p>
      <w:pPr>
        <w:tabs>
          <w:tab w:val="right" w:pos="9072" w:leader="dot"/>
        </w:tabs>
        <w:spacing w:after="110"/>
      </w:pPr>
      <w:r>
        <w:rPr>
          <w:color w:val="222222"/>
          <w:sz w:val="21"/>
          <w:szCs w:val="21"/>
        </w:rPr>
        <w:t xml:space="preserve">   7.1 Incident Management</w:t>
      </w:r>
      <w:r>
        <w:rPr>
          <w:color w:val="595959"/>
          <w:sz w:val="21"/>
          <w:szCs w:val="21"/>
        </w:rPr>
        <w:t xml:space="preserve">	10</w:t>
      </w:r>
    </w:p>
    <w:p>
      <w:pPr>
        <w:tabs>
          <w:tab w:val="right" w:pos="9072" w:leader="dot"/>
        </w:tabs>
        <w:spacing w:after="110"/>
      </w:pPr>
      <w:r>
        <w:rPr>
          <w:color w:val="222222"/>
          <w:sz w:val="21"/>
          <w:szCs w:val="21"/>
        </w:rPr>
        <w:t xml:space="preserve">   7.2 Problem Management</w:t>
      </w:r>
      <w:r>
        <w:rPr>
          <w:color w:val="595959"/>
          <w:sz w:val="21"/>
          <w:szCs w:val="21"/>
        </w:rPr>
        <w:t xml:space="preserve">	13</w:t>
      </w:r>
    </w:p>
    <w:p>
      <w:pPr>
        <w:tabs>
          <w:tab w:val="right" w:pos="9072" w:leader="dot"/>
        </w:tabs>
        <w:spacing w:after="110"/>
      </w:pPr>
      <w:r>
        <w:rPr>
          <w:color w:val="222222"/>
          <w:sz w:val="21"/>
          <w:szCs w:val="21"/>
        </w:rPr>
        <w:t xml:space="preserve">   7.3 Change Management</w:t>
      </w:r>
      <w:r>
        <w:rPr>
          <w:color w:val="595959"/>
          <w:sz w:val="21"/>
          <w:szCs w:val="21"/>
        </w:rPr>
        <w:t xml:space="preserve">	15</w:t>
      </w:r>
    </w:p>
    <w:p>
      <w:pPr>
        <w:tabs>
          <w:tab w:val="right" w:pos="9072" w:leader="dot"/>
        </w:tabs>
        <w:spacing w:after="110"/>
      </w:pPr>
      <w:r>
        <w:rPr>
          <w:color w:val="222222"/>
          <w:sz w:val="21"/>
          <w:szCs w:val="21"/>
        </w:rPr>
        <w:t xml:space="preserve">   7.4 Knowledge Management</w:t>
      </w:r>
      <w:r>
        <w:rPr>
          <w:color w:val="595959"/>
          <w:sz w:val="21"/>
          <w:szCs w:val="21"/>
        </w:rPr>
        <w:t xml:space="preserve">	18</w:t>
      </w:r>
    </w:p>
    <w:p>
      <w:pPr>
        <w:tabs>
          <w:tab w:val="right" w:pos="9072" w:leader="dot"/>
        </w:tabs>
        <w:spacing w:after="110"/>
      </w:pPr>
      <w:r>
        <w:rPr>
          <w:color w:val="222222"/>
          <w:sz w:val="21"/>
          <w:szCs w:val="21"/>
        </w:rPr>
        <w:t xml:space="preserve">   7.5 Request Management</w:t>
      </w:r>
      <w:r>
        <w:rPr>
          <w:color w:val="595959"/>
          <w:sz w:val="21"/>
          <w:szCs w:val="21"/>
        </w:rPr>
        <w:t xml:space="preserve">	20</w:t>
      </w:r>
    </w:p>
    <w:p>
      <w:pPr>
        <w:tabs>
          <w:tab w:val="right" w:pos="9072" w:leader="dot"/>
        </w:tabs>
        <w:spacing w:after="110"/>
      </w:pPr>
      <w:r>
        <w:rPr>
          <w:color w:val="222222"/>
          <w:sz w:val="21"/>
          <w:szCs w:val="21"/>
        </w:rPr>
        <w:t xml:space="preserve">   7.6 Service Catalog</w:t>
      </w:r>
      <w:r>
        <w:rPr>
          <w:color w:val="595959"/>
          <w:sz w:val="21"/>
          <w:szCs w:val="21"/>
        </w:rPr>
        <w:t xml:space="preserve">	22</w:t>
      </w:r>
    </w:p>
    <w:p>
      <w:pPr>
        <w:tabs>
          <w:tab w:val="right" w:pos="9072" w:leader="dot"/>
        </w:tabs>
        <w:spacing w:after="110"/>
      </w:pPr>
      <w:r>
        <w:rPr>
          <w:color w:val="222222"/>
          <w:sz w:val="21"/>
          <w:szCs w:val="21"/>
        </w:rPr>
        <w:t xml:space="preserve">8. Cross-Module Integration Requirements</w:t>
      </w:r>
      <w:r>
        <w:rPr>
          <w:color w:val="595959"/>
          <w:sz w:val="21"/>
          <w:szCs w:val="21"/>
        </w:rPr>
        <w:t xml:space="preserve">	24</w:t>
      </w:r>
    </w:p>
    <w:p>
      <w:pPr>
        <w:tabs>
          <w:tab w:val="right" w:pos="9072" w:leader="dot"/>
        </w:tabs>
        <w:spacing w:after="110"/>
      </w:pPr>
      <w:r>
        <w:rPr>
          <w:color w:val="222222"/>
          <w:sz w:val="21"/>
          <w:szCs w:val="21"/>
        </w:rPr>
        <w:t xml:space="preserve">9. Non-Functional Requirements</w:t>
      </w:r>
      <w:r>
        <w:rPr>
          <w:color w:val="595959"/>
          <w:sz w:val="21"/>
          <w:szCs w:val="21"/>
        </w:rPr>
        <w:t xml:space="preserve">	24</w:t>
      </w:r>
    </w:p>
    <w:p>
      <w:pPr>
        <w:tabs>
          <w:tab w:val="right" w:pos="9072" w:leader="dot"/>
        </w:tabs>
        <w:spacing w:after="110"/>
      </w:pPr>
      <w:r>
        <w:rPr>
          <w:color w:val="222222"/>
          <w:sz w:val="21"/>
          <w:szCs w:val="21"/>
        </w:rPr>
        <w:t xml:space="preserve">10. Notification &amp; Communication Requirements</w:t>
      </w:r>
      <w:r>
        <w:rPr>
          <w:color w:val="595959"/>
          <w:sz w:val="21"/>
          <w:szCs w:val="21"/>
        </w:rPr>
        <w:t xml:space="preserve">	25</w:t>
      </w:r>
    </w:p>
    <w:p>
      <w:pPr>
        <w:tabs>
          <w:tab w:val="right" w:pos="9072" w:leader="dot"/>
        </w:tabs>
        <w:spacing w:after="110"/>
      </w:pPr>
      <w:r>
        <w:rPr>
          <w:color w:val="222222"/>
          <w:sz w:val="21"/>
          <w:szCs w:val="21"/>
        </w:rPr>
        <w:t xml:space="preserve">11. Security &amp; Access Control</w:t>
      </w:r>
      <w:r>
        <w:rPr>
          <w:color w:val="595959"/>
          <w:sz w:val="21"/>
          <w:szCs w:val="21"/>
        </w:rPr>
        <w:t xml:space="preserve">	25</w:t>
      </w:r>
    </w:p>
    <w:p>
      <w:pPr>
        <w:tabs>
          <w:tab w:val="right" w:pos="9072" w:leader="dot"/>
        </w:tabs>
        <w:spacing w:after="110"/>
      </w:pPr>
      <w:r>
        <w:rPr>
          <w:color w:val="222222"/>
          <w:sz w:val="21"/>
          <w:szCs w:val="21"/>
        </w:rPr>
        <w:t xml:space="preserve">12. Reporting &amp; Dashboards</w:t>
      </w:r>
      <w:r>
        <w:rPr>
          <w:color w:val="595959"/>
          <w:sz w:val="21"/>
          <w:szCs w:val="21"/>
        </w:rPr>
        <w:t xml:space="preserve">	25</w:t>
      </w:r>
    </w:p>
    <w:p>
      <w:pPr>
        <w:tabs>
          <w:tab w:val="right" w:pos="9072" w:leader="dot"/>
        </w:tabs>
        <w:spacing w:after="110"/>
      </w:pPr>
      <w:r>
        <w:rPr>
          <w:color w:val="222222"/>
          <w:sz w:val="21"/>
          <w:szCs w:val="21"/>
        </w:rPr>
        <w:t xml:space="preserve">13. Assumptions &amp; Constraints</w:t>
      </w:r>
      <w:r>
        <w:rPr>
          <w:color w:val="595959"/>
          <w:sz w:val="21"/>
          <w:szCs w:val="21"/>
        </w:rPr>
        <w:t xml:space="preserve">	27</w:t>
      </w:r>
    </w:p>
    <w:p>
      <w:pPr>
        <w:tabs>
          <w:tab w:val="right" w:pos="9072" w:leader="dot"/>
        </w:tabs>
        <w:spacing w:after="110"/>
      </w:pPr>
      <w:r>
        <w:rPr>
          <w:color w:val="222222"/>
          <w:sz w:val="21"/>
          <w:szCs w:val="21"/>
        </w:rPr>
        <w:t xml:space="preserve">14. Risks</w:t>
      </w:r>
      <w:r>
        <w:rPr>
          <w:color w:val="595959"/>
          <w:sz w:val="21"/>
          <w:szCs w:val="21"/>
        </w:rPr>
        <w:t xml:space="preserve">	27</w:t>
      </w:r>
    </w:p>
    <w:p>
      <w:pPr>
        <w:tabs>
          <w:tab w:val="right" w:pos="9072" w:leader="dot"/>
        </w:tabs>
        <w:spacing w:after="110"/>
      </w:pPr>
      <w:r>
        <w:rPr>
          <w:color w:val="222222"/>
          <w:sz w:val="21"/>
          <w:szCs w:val="21"/>
        </w:rPr>
        <w:t xml:space="preserve">15. Acceptance Criteria &amp; Sign-off</w:t>
      </w:r>
      <w:r>
        <w:rPr>
          <w:color w:val="595959"/>
          <w:sz w:val="21"/>
          <w:szCs w:val="21"/>
        </w:rPr>
        <w:t xml:space="preserve">	27</w:t>
      </w:r>
    </w:p>
    <w:p>
      <w:pPr>
        <w:tabs>
          <w:tab w:val="right" w:pos="9072" w:leader="dot"/>
        </w:tabs>
        <w:spacing w:after="110"/>
      </w:pPr>
      <w:r>
        <w:rPr>
          <w:color w:val="222222"/>
          <w:sz w:val="21"/>
          <w:szCs w:val="21"/>
        </w:rPr>
        <w:t xml:space="preserve">16. Appendix</w:t>
      </w:r>
      <w:r>
        <w:rPr>
          <w:color w:val="595959"/>
          <w:sz w:val="21"/>
          <w:szCs w:val="21"/>
        </w:rPr>
        <w:t xml:space="preserve">	28</w:t>
      </w:r>
    </w:p>
    <w:p>
      <w:r>
        <w:br w:type="page"/>
      </w:r>
    </w:p>
    <w:p>
      <w:pPr>
        <w:pStyle w:val="Heading1"/>
        <w:pBdr>
          <w:bottom w:val="single" w:color="1A2744" w:sz="6" w:space="4"/>
        </w:pBdr>
        <w:spacing w:after="200" w:before="400"/>
      </w:pPr>
      <w:r>
        <w:rPr>
          <w:b/>
          <w:bCs/>
          <w:color w:val="1A2744"/>
          <w:sz w:val="30"/>
          <w:szCs w:val="30"/>
        </w:rPr>
        <w:t xml:space="preserve">1. Introduction &amp; Purpose</w:t>
      </w:r>
    </w:p>
    <w:p>
      <w:pPr>
        <w:spacing w:after="160" w:line="276"/>
      </w:pPr>
      <w:r>
        <w:rPr>
          <w:color w:val="222222"/>
          <w:sz w:val="21"/>
          <w:szCs w:val="21"/>
        </w:rPr>
        <w:t xml:space="preserve">This document defines the business and functional requirements for ITSM-Oryfolks, an enterprise IT Service Management platform being built to standardize and streamline how the organization logs, tracks, and resolves IT service activity. It serves as the single source of truth for developers, business analysts, project stakeholders, and the customer throughout design, build, testing, and sign-off.</w:t>
      </w:r>
    </w:p>
    <w:p>
      <w:pPr>
        <w:spacing w:after="160" w:line="276"/>
      </w:pPr>
      <w:r>
        <w:rPr>
          <w:color w:val="222222"/>
          <w:sz w:val="21"/>
          <w:szCs w:val="21"/>
        </w:rPr>
        <w:t xml:space="preserve">The platform brings together six core modules — Incident Management, Problem Management, Change Management, Knowledge Management, Request Management, and Service Catalog — into one connected system, so that issues, requests, and changes are handled consistently, with full visibility and traceability from first report to final closure.</w:t>
      </w:r>
    </w:p>
    <w:p>
      <w:pPr>
        <w:pStyle w:val="Heading1"/>
        <w:pBdr>
          <w:bottom w:val="single" w:color="1A2744" w:sz="6" w:space="4"/>
        </w:pBdr>
        <w:spacing w:after="200" w:before="400"/>
      </w:pPr>
      <w:r>
        <w:rPr>
          <w:b/>
          <w:bCs/>
          <w:color w:val="1A2744"/>
          <w:sz w:val="30"/>
          <w:szCs w:val="30"/>
        </w:rPr>
        <w:t xml:space="preserve">2. Project Overview &amp; Business Objectives</w:t>
      </w:r>
    </w:p>
    <w:p>
      <w:pPr>
        <w:spacing w:after="160" w:line="276"/>
      </w:pPr>
      <w:r>
        <w:rPr>
          <w:color w:val="222222"/>
          <w:sz w:val="21"/>
          <w:szCs w:val="21"/>
        </w:rPr>
        <w:t xml:space="preserve">ITSM-Oryfolks replaces fragmented, manual, or disconnected tracking methods with a single, unified platform for IT service delivery. The platform is designed to be intuitive for end users, efficient for support teams, and transparent for management and customers.</w:t>
      </w:r>
    </w:p>
    <w:p>
      <w:pPr>
        <w:pStyle w:val="Heading2"/>
        <w:spacing w:after="140" w:before="280"/>
      </w:pPr>
      <w:r>
        <w:rPr>
          <w:b/>
          <w:bCs/>
          <w:color w:val="4472C4"/>
          <w:sz w:val="24"/>
          <w:szCs w:val="24"/>
        </w:rPr>
        <w:t xml:space="preserve">Business Objectives</w:t>
      </w:r>
    </w:p>
    <w:p>
      <w:pPr>
        <w:pStyle w:val="ListParagraph"/>
        <w:numPr>
          <w:ilvl w:val="0"/>
          <w:numId w:val="2"/>
        </w:numPr>
        <w:spacing w:after="80"/>
      </w:pPr>
      <w:r>
        <w:rPr>
          <w:color w:val="222222"/>
          <w:sz w:val="21"/>
          <w:szCs w:val="21"/>
        </w:rPr>
        <w:t xml:space="preserve">Provide a single system of record for all IT service activity, from reported issues to fulfilled requests.</w:t>
      </w:r>
    </w:p>
    <w:p>
      <w:pPr>
        <w:pStyle w:val="ListParagraph"/>
        <w:numPr>
          <w:ilvl w:val="0"/>
          <w:numId w:val="2"/>
        </w:numPr>
        <w:spacing w:after="80"/>
      </w:pPr>
      <w:r>
        <w:rPr>
          <w:color w:val="222222"/>
          <w:sz w:val="21"/>
          <w:szCs w:val="21"/>
        </w:rPr>
        <w:t xml:space="preserve">Reduce resolution and fulfillment times through automated routing, prioritization, and escalation.</w:t>
      </w:r>
    </w:p>
    <w:p>
      <w:pPr>
        <w:pStyle w:val="ListParagraph"/>
        <w:numPr>
          <w:ilvl w:val="0"/>
          <w:numId w:val="2"/>
        </w:numPr>
        <w:spacing w:after="80"/>
      </w:pPr>
      <w:r>
        <w:rPr>
          <w:color w:val="222222"/>
          <w:sz w:val="21"/>
          <w:szCs w:val="21"/>
        </w:rPr>
        <w:t xml:space="preserve">Minimize the risk and business impact of IT changes through structured assessment and approval.</w:t>
      </w:r>
    </w:p>
    <w:p>
      <w:pPr>
        <w:pStyle w:val="ListParagraph"/>
        <w:numPr>
          <w:ilvl w:val="0"/>
          <w:numId w:val="2"/>
        </w:numPr>
        <w:spacing w:after="80"/>
      </w:pPr>
      <w:r>
        <w:rPr>
          <w:color w:val="222222"/>
          <w:sz w:val="21"/>
          <w:szCs w:val="21"/>
        </w:rPr>
        <w:t xml:space="preserve">Reduce recurring issues by systematically identifying and eliminating root causes.</w:t>
      </w:r>
    </w:p>
    <w:p>
      <w:pPr>
        <w:pStyle w:val="ListParagraph"/>
        <w:numPr>
          <w:ilvl w:val="0"/>
          <w:numId w:val="2"/>
        </w:numPr>
        <w:spacing w:after="80"/>
      </w:pPr>
      <w:r>
        <w:rPr>
          <w:color w:val="222222"/>
          <w:sz w:val="21"/>
          <w:szCs w:val="21"/>
        </w:rPr>
        <w:t xml:space="preserve">Improve user self-sufficiency through a searchable knowledge base and an easy-to-use service catalog.</w:t>
      </w:r>
    </w:p>
    <w:p>
      <w:pPr>
        <w:pStyle w:val="ListParagraph"/>
        <w:numPr>
          <w:ilvl w:val="0"/>
          <w:numId w:val="2"/>
        </w:numPr>
        <w:spacing w:after="80"/>
      </w:pPr>
      <w:r>
        <w:rPr>
          <w:color w:val="222222"/>
          <w:sz w:val="21"/>
          <w:szCs w:val="21"/>
        </w:rPr>
        <w:t xml:space="preserve">Enable data-driven decision-making through consistent reporting and key performance indicators across all modules.</w:t>
      </w:r>
    </w:p>
    <w:p>
      <w:pPr>
        <w:pStyle w:val="Heading1"/>
        <w:pBdr>
          <w:bottom w:val="single" w:color="1A2744" w:sz="6" w:space="4"/>
        </w:pBdr>
        <w:spacing w:after="200" w:before="400"/>
      </w:pPr>
      <w:r>
        <w:rPr>
          <w:b/>
          <w:bCs/>
          <w:color w:val="1A2744"/>
          <w:sz w:val="30"/>
          <w:szCs w:val="30"/>
        </w:rPr>
        <w:t xml:space="preserve">3. Scope</w:t>
      </w:r>
    </w:p>
    <w:p>
      <w:pPr>
        <w:pStyle w:val="Heading2"/>
        <w:spacing w:after="140" w:before="280"/>
      </w:pPr>
      <w:r>
        <w:rPr>
          <w:b/>
          <w:bCs/>
          <w:color w:val="4472C4"/>
          <w:sz w:val="24"/>
          <w:szCs w:val="24"/>
        </w:rPr>
        <w:t xml:space="preserve">3.1 In Scope</w:t>
      </w:r>
    </w:p>
    <w:p>
      <w:pPr>
        <w:pStyle w:val="ListParagraph"/>
        <w:numPr>
          <w:ilvl w:val="0"/>
          <w:numId w:val="2"/>
        </w:numPr>
        <w:spacing w:after="80"/>
      </w:pPr>
      <w:r>
        <w:rPr>
          <w:color w:val="222222"/>
          <w:sz w:val="21"/>
          <w:szCs w:val="21"/>
        </w:rPr>
        <w:t xml:space="preserve">Design and build of the six core modules: Incident, Problem, Change, Knowledge, Request Management, and Service Catalog.</w:t>
      </w:r>
    </w:p>
    <w:p>
      <w:pPr>
        <w:pStyle w:val="ListParagraph"/>
        <w:numPr>
          <w:ilvl w:val="0"/>
          <w:numId w:val="2"/>
        </w:numPr>
        <w:spacing w:after="80"/>
      </w:pPr>
      <w:r>
        <w:rPr>
          <w:color w:val="222222"/>
          <w:sz w:val="21"/>
          <w:szCs w:val="21"/>
        </w:rPr>
        <w:t xml:space="preserve">End-to-end lifecycle management for each module, including status tracking, notifications, and closure.</w:t>
      </w:r>
    </w:p>
    <w:p>
      <w:pPr>
        <w:pStyle w:val="ListParagraph"/>
        <w:numPr>
          <w:ilvl w:val="0"/>
          <w:numId w:val="2"/>
        </w:numPr>
        <w:spacing w:after="80"/>
      </w:pPr>
      <w:r>
        <w:rPr>
          <w:color w:val="222222"/>
          <w:sz w:val="21"/>
          <w:szCs w:val="21"/>
        </w:rPr>
        <w:t xml:space="preserve">Cross-module linkage (e.g., an incident linked to a problem, a problem linked to a change, a request originating from the catalog).</w:t>
      </w:r>
    </w:p>
    <w:p>
      <w:pPr>
        <w:pStyle w:val="ListParagraph"/>
        <w:numPr>
          <w:ilvl w:val="0"/>
          <w:numId w:val="2"/>
        </w:numPr>
        <w:spacing w:after="80"/>
      </w:pPr>
      <w:r>
        <w:rPr>
          <w:color w:val="222222"/>
          <w:sz w:val="21"/>
          <w:szCs w:val="21"/>
        </w:rPr>
        <w:t xml:space="preserve">Role-based access control across all modules.</w:t>
      </w:r>
    </w:p>
    <w:p>
      <w:pPr>
        <w:pStyle w:val="ListParagraph"/>
        <w:numPr>
          <w:ilvl w:val="0"/>
          <w:numId w:val="2"/>
        </w:numPr>
        <w:spacing w:after="80"/>
      </w:pPr>
      <w:r>
        <w:rPr>
          <w:color w:val="222222"/>
          <w:sz w:val="21"/>
          <w:szCs w:val="21"/>
        </w:rPr>
        <w:t xml:space="preserve">Reporting, dashboards, and key performance indicators for each module.</w:t>
      </w:r>
    </w:p>
    <w:p>
      <w:pPr>
        <w:pStyle w:val="ListParagraph"/>
        <w:numPr>
          <w:ilvl w:val="0"/>
          <w:numId w:val="2"/>
        </w:numPr>
        <w:spacing w:after="80"/>
      </w:pPr>
      <w:r>
        <w:rPr>
          <w:color w:val="222222"/>
          <w:sz w:val="21"/>
          <w:szCs w:val="21"/>
        </w:rPr>
        <w:t xml:space="preserve">Integration touchpoints with email, and with monitoring tools for automated incident creation.</w:t>
      </w:r>
    </w:p>
    <w:p>
      <w:pPr>
        <w:pStyle w:val="Heading2"/>
        <w:spacing w:after="140" w:before="280"/>
      </w:pPr>
      <w:r>
        <w:rPr>
          <w:b/>
          <w:bCs/>
          <w:color w:val="4472C4"/>
          <w:sz w:val="24"/>
          <w:szCs w:val="24"/>
        </w:rPr>
        <w:t xml:space="preserve">3.2 Out of Scope</w:t>
      </w:r>
    </w:p>
    <w:p>
      <w:pPr>
        <w:pStyle w:val="ListParagraph"/>
        <w:numPr>
          <w:ilvl w:val="0"/>
          <w:numId w:val="2"/>
        </w:numPr>
        <w:spacing w:after="80"/>
      </w:pPr>
      <w:r>
        <w:rPr>
          <w:color w:val="222222"/>
          <w:sz w:val="21"/>
          <w:szCs w:val="21"/>
        </w:rPr>
        <w:t xml:space="preserve">Asset and configuration inventory tooling beyond what is required to reference affected services/components in the modules above.</w:t>
      </w:r>
    </w:p>
    <w:p>
      <w:pPr>
        <w:pStyle w:val="ListParagraph"/>
        <w:numPr>
          <w:ilvl w:val="0"/>
          <w:numId w:val="2"/>
        </w:numPr>
        <w:spacing w:after="80"/>
      </w:pPr>
      <w:r>
        <w:rPr>
          <w:color w:val="222222"/>
          <w:sz w:val="21"/>
          <w:szCs w:val="21"/>
        </w:rPr>
        <w:t xml:space="preserve">Financial/procurement systems, beyond capturing estimated cost on catalog items.</w:t>
      </w:r>
    </w:p>
    <w:p>
      <w:pPr>
        <w:pStyle w:val="ListParagraph"/>
        <w:numPr>
          <w:ilvl w:val="0"/>
          <w:numId w:val="2"/>
        </w:numPr>
        <w:spacing w:after="80"/>
      </w:pPr>
      <w:r>
        <w:rPr>
          <w:color w:val="222222"/>
          <w:sz w:val="21"/>
          <w:szCs w:val="21"/>
        </w:rPr>
        <w:t xml:space="preserve">Third-party vendor-specific ticketing systems outside the ITSM-Oryfolks platform boundary.</w:t>
      </w:r>
    </w:p>
    <w:p>
      <w:pPr>
        <w:pStyle w:val="Heading1"/>
        <w:pBdr>
          <w:bottom w:val="single" w:color="1A2744" w:sz="6" w:space="4"/>
        </w:pBdr>
        <w:spacing w:after="200" w:before="400"/>
      </w:pPr>
      <w:r>
        <w:rPr>
          <w:b/>
          <w:bCs/>
          <w:color w:val="1A2744"/>
          <w:sz w:val="30"/>
          <w:szCs w:val="30"/>
        </w:rPr>
        <w:t xml:space="preserve">4. Stakeholders &amp; Roles &amp; Responsibilities</w:t>
      </w:r>
    </w:p>
    <w:p>
      <w:pPr>
        <w:spacing w:after="160" w:line="276"/>
      </w:pPr>
      <w:r>
        <w:rPr>
          <w:color w:val="222222"/>
          <w:sz w:val="21"/>
          <w:szCs w:val="21"/>
        </w:rPr>
        <w:t xml:space="preserve">The roles below are common across modules, though a given individual's involvement will vary by module (for example, a Support Agent primarily works Incidents, while a Change Owner primarily works Changes).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0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Role</w:t>
            </w:r>
          </w:p>
        </w:tc>
        <w:tc>
          <w:tcPr>
            <w:tcW w:type="dxa" w:w="3600"/>
            <w:shd w:fill="1A2744" w:val="clear"/>
            <w:tcMar>
              <w:top w:type="dxa" w:w="100"/>
              <w:left w:type="dxa" w:w="120"/>
              <w:bottom w:type="dxa" w:w="100"/>
              <w:right w:type="dxa" w:w="120"/>
            </w:tcMar>
            <w:vAlign w:val="center"/>
          </w:tcPr>
          <w:p>
            <w:r>
              <w:rPr>
                <w:b/>
                <w:bCs/>
                <w:color w:val="FFFFFF"/>
                <w:sz w:val="19"/>
                <w:szCs w:val="19"/>
              </w:rPr>
              <w:t xml:space="preserve">Responsibilities</w:t>
            </w:r>
          </w:p>
        </w:tc>
        <w:tc>
          <w:tcPr>
            <w:tcW w:type="dxa" w:w="3000"/>
            <w:shd w:fill="1A2744" w:val="clear"/>
            <w:tcMar>
              <w:top w:type="dxa" w:w="100"/>
              <w:left w:type="dxa" w:w="120"/>
              <w:bottom w:type="dxa" w:w="100"/>
              <w:right w:type="dxa" w:w="120"/>
            </w:tcMar>
            <w:vAlign w:val="center"/>
          </w:tcPr>
          <w:p>
            <w:r>
              <w:rPr>
                <w:b/>
                <w:bCs/>
                <w:color w:val="FFFFFF"/>
                <w:sz w:val="19"/>
                <w:szCs w:val="19"/>
              </w:rPr>
              <w:t xml:space="preserve">Primary Modules</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End User / Requester</w:t>
            </w:r>
          </w:p>
        </w:tc>
        <w:tc>
          <w:tcPr>
            <w:tcW w:type="dxa" w:w="3600"/>
            <w:tcMar>
              <w:top w:type="dxa" w:w="90"/>
              <w:left w:type="dxa" w:w="120"/>
              <w:bottom w:type="dxa" w:w="90"/>
              <w:right w:type="dxa" w:w="120"/>
            </w:tcMar>
            <w:vAlign w:val="center"/>
          </w:tcPr>
          <w:p>
            <w:pPr>
              <w:spacing w:after="40"/>
            </w:pPr>
            <w:r>
              <w:rPr>
                <w:b w:val="false"/>
                <w:bCs w:val="false"/>
                <w:color w:val="222222"/>
                <w:sz w:val="19"/>
                <w:szCs w:val="19"/>
              </w:rPr>
              <w:t xml:space="preserve">Reports issues and submits requests.</w:t>
            </w:r>
          </w:p>
          <w:p>
            <w:pPr>
              <w:spacing w:after="40"/>
            </w:pPr>
            <w:r>
              <w:rPr>
                <w:b w:val="false"/>
                <w:bCs w:val="false"/>
                <w:color w:val="222222"/>
                <w:sz w:val="19"/>
                <w:szCs w:val="19"/>
              </w:rPr>
              <w:t xml:space="preserve">Browses the service catalog and confirms fulfillment/resolution.</w:t>
            </w:r>
          </w:p>
        </w:tc>
        <w:tc>
          <w:tcPr>
            <w:tcW w:type="dxa" w:w="3000"/>
            <w:tcMar>
              <w:top w:type="dxa" w:w="90"/>
              <w:left w:type="dxa" w:w="120"/>
              <w:bottom w:type="dxa" w:w="90"/>
              <w:right w:type="dxa" w:w="120"/>
            </w:tcMar>
            <w:vAlign w:val="center"/>
          </w:tcPr>
          <w:p>
            <w:pPr>
              <w:spacing w:after="40"/>
            </w:pPr>
            <w:r>
              <w:rPr>
                <w:b w:val="false"/>
                <w:bCs w:val="false"/>
                <w:color w:val="222222"/>
                <w:sz w:val="19"/>
                <w:szCs w:val="19"/>
              </w:rPr>
              <w:t xml:space="preserve">Incident, Request, Catalog, Knowledge</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Support Agent</w:t>
            </w:r>
          </w:p>
        </w:tc>
        <w:tc>
          <w:tcPr>
            <w:tcW w:type="dxa" w:w="3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Logs, triages, and resolves incidents.</w:t>
            </w:r>
          </w:p>
          <w:p>
            <w:pPr>
              <w:spacing w:after="40"/>
            </w:pPr>
            <w:r>
              <w:rPr>
                <w:b w:val="false"/>
                <w:bCs w:val="false"/>
                <w:color w:val="222222"/>
                <w:sz w:val="19"/>
                <w:szCs w:val="19"/>
              </w:rPr>
              <w:t xml:space="preserve">Uses and contributes to the knowledge base.</w:t>
            </w:r>
          </w:p>
        </w:tc>
        <w:tc>
          <w:tcPr>
            <w:tcW w:type="dxa" w:w="3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Incident, Knowledge</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Problem Analyst</w:t>
            </w:r>
          </w:p>
        </w:tc>
        <w:tc>
          <w:tcPr>
            <w:tcW w:type="dxa" w:w="3600"/>
            <w:tcMar>
              <w:top w:type="dxa" w:w="90"/>
              <w:left w:type="dxa" w:w="120"/>
              <w:bottom w:type="dxa" w:w="90"/>
              <w:right w:type="dxa" w:w="120"/>
            </w:tcMar>
            <w:vAlign w:val="center"/>
          </w:tcPr>
          <w:p>
            <w:pPr>
              <w:spacing w:after="40"/>
            </w:pPr>
            <w:r>
              <w:rPr>
                <w:b w:val="false"/>
                <w:bCs w:val="false"/>
                <w:color w:val="222222"/>
                <w:sz w:val="19"/>
                <w:szCs w:val="19"/>
              </w:rPr>
              <w:t xml:space="preserve">Investigates root causes and documents known errors.</w:t>
            </w:r>
          </w:p>
          <w:p>
            <w:pPr>
              <w:spacing w:after="40"/>
            </w:pPr>
            <w:r>
              <w:rPr>
                <w:b w:val="false"/>
                <w:bCs w:val="false"/>
                <w:color w:val="222222"/>
                <w:sz w:val="19"/>
                <w:szCs w:val="19"/>
              </w:rPr>
              <w:t xml:space="preserve">Tracks fixes through to verification.</w:t>
            </w:r>
          </w:p>
        </w:tc>
        <w:tc>
          <w:tcPr>
            <w:tcW w:type="dxa" w:w="3000"/>
            <w:tcMar>
              <w:top w:type="dxa" w:w="90"/>
              <w:left w:type="dxa" w:w="120"/>
              <w:bottom w:type="dxa" w:w="90"/>
              <w:right w:type="dxa" w:w="120"/>
            </w:tcMar>
            <w:vAlign w:val="center"/>
          </w:tcPr>
          <w:p>
            <w:pPr>
              <w:spacing w:after="40"/>
            </w:pPr>
            <w:r>
              <w:rPr>
                <w:b w:val="false"/>
                <w:bCs w:val="false"/>
                <w:color w:val="222222"/>
                <w:sz w:val="19"/>
                <w:szCs w:val="19"/>
              </w:rPr>
              <w:t xml:space="preserve">Problem, Knowledge</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Change Owner / Coordinator</w:t>
            </w:r>
          </w:p>
        </w:tc>
        <w:tc>
          <w:tcPr>
            <w:tcW w:type="dxa" w:w="3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Submits and manages change requests through approval and implementation.</w:t>
            </w:r>
          </w:p>
          <w:p>
            <w:pPr>
              <w:spacing w:after="40"/>
            </w:pPr>
            <w:r>
              <w:rPr>
                <w:b w:val="false"/>
                <w:bCs w:val="false"/>
                <w:color w:val="222222"/>
                <w:sz w:val="19"/>
                <w:szCs w:val="19"/>
              </w:rPr>
              <w:t xml:space="preserve">Maintains the implementation and rollback plan.</w:t>
            </w:r>
          </w:p>
        </w:tc>
        <w:tc>
          <w:tcPr>
            <w:tcW w:type="dxa" w:w="3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Change</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Change Advisory Board</w:t>
            </w:r>
          </w:p>
        </w:tc>
        <w:tc>
          <w:tcPr>
            <w:tcW w:type="dxa" w:w="3600"/>
            <w:tcMar>
              <w:top w:type="dxa" w:w="90"/>
              <w:left w:type="dxa" w:w="120"/>
              <w:bottom w:type="dxa" w:w="90"/>
              <w:right w:type="dxa" w:w="120"/>
            </w:tcMar>
            <w:vAlign w:val="center"/>
          </w:tcPr>
          <w:p>
            <w:pPr>
              <w:spacing w:after="40"/>
            </w:pPr>
            <w:r>
              <w:rPr>
                <w:b w:val="false"/>
                <w:bCs w:val="false"/>
                <w:color w:val="222222"/>
                <w:sz w:val="19"/>
                <w:szCs w:val="19"/>
              </w:rPr>
              <w:t xml:space="preserve">Reviews and authorizes Normal and higher-risk changes.</w:t>
            </w:r>
          </w:p>
          <w:p>
            <w:pPr>
              <w:spacing w:after="40"/>
            </w:pPr>
            <w:r>
              <w:rPr>
                <w:b w:val="false"/>
                <w:bCs w:val="false"/>
                <w:color w:val="222222"/>
                <w:sz w:val="19"/>
                <w:szCs w:val="19"/>
              </w:rPr>
              <w:t xml:space="preserve">Evaluates scheduling conflicts and risk.</w:t>
            </w:r>
          </w:p>
        </w:tc>
        <w:tc>
          <w:tcPr>
            <w:tcW w:type="dxa" w:w="3000"/>
            <w:tcMar>
              <w:top w:type="dxa" w:w="90"/>
              <w:left w:type="dxa" w:w="120"/>
              <w:bottom w:type="dxa" w:w="90"/>
              <w:right w:type="dxa" w:w="120"/>
            </w:tcMar>
            <w:vAlign w:val="center"/>
          </w:tcPr>
          <w:p>
            <w:pPr>
              <w:spacing w:after="40"/>
            </w:pPr>
            <w:r>
              <w:rPr>
                <w:b w:val="false"/>
                <w:bCs w:val="false"/>
                <w:color w:val="222222"/>
                <w:sz w:val="19"/>
                <w:szCs w:val="19"/>
              </w:rPr>
              <w:t xml:space="preserve">Change</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Knowledge Owner</w:t>
            </w:r>
          </w:p>
        </w:tc>
        <w:tc>
          <w:tcPr>
            <w:tcW w:type="dxa" w:w="3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Reviews, approves, and publishes articles.</w:t>
            </w:r>
          </w:p>
          <w:p>
            <w:pPr>
              <w:spacing w:after="40"/>
            </w:pPr>
            <w:r>
              <w:rPr>
                <w:b w:val="false"/>
                <w:bCs w:val="false"/>
                <w:color w:val="222222"/>
                <w:sz w:val="19"/>
                <w:szCs w:val="19"/>
              </w:rPr>
              <w:t xml:space="preserve">Maintains content freshness.</w:t>
            </w:r>
          </w:p>
        </w:tc>
        <w:tc>
          <w:tcPr>
            <w:tcW w:type="dxa" w:w="3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Knowledge</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Fulfillment Team</w:t>
            </w:r>
          </w:p>
        </w:tc>
        <w:tc>
          <w:tcPr>
            <w:tcW w:type="dxa" w:w="3600"/>
            <w:tcMar>
              <w:top w:type="dxa" w:w="90"/>
              <w:left w:type="dxa" w:w="120"/>
              <w:bottom w:type="dxa" w:w="90"/>
              <w:right w:type="dxa" w:w="120"/>
            </w:tcMar>
            <w:vAlign w:val="center"/>
          </w:tcPr>
          <w:p>
            <w:pPr>
              <w:spacing w:after="40"/>
            </w:pPr>
            <w:r>
              <w:rPr>
                <w:b w:val="false"/>
                <w:bCs w:val="false"/>
                <w:color w:val="222222"/>
                <w:sz w:val="19"/>
                <w:szCs w:val="19"/>
              </w:rPr>
              <w:t xml:space="preserve">Completes tasks generated from approved requests.</w:t>
            </w:r>
          </w:p>
          <w:p>
            <w:pPr>
              <w:spacing w:after="40"/>
            </w:pPr>
            <w:r>
              <w:rPr>
                <w:b w:val="false"/>
                <w:bCs w:val="false"/>
                <w:color w:val="222222"/>
                <w:sz w:val="19"/>
                <w:szCs w:val="19"/>
              </w:rPr>
              <w:t xml:space="preserve">Updates task status and confirms completion.</w:t>
            </w:r>
          </w:p>
        </w:tc>
        <w:tc>
          <w:tcPr>
            <w:tcW w:type="dxa" w:w="3000"/>
            <w:tcMar>
              <w:top w:type="dxa" w:w="90"/>
              <w:left w:type="dxa" w:w="120"/>
              <w:bottom w:type="dxa" w:w="90"/>
              <w:right w:type="dxa" w:w="120"/>
            </w:tcMar>
            <w:vAlign w:val="center"/>
          </w:tcPr>
          <w:p>
            <w:pPr>
              <w:spacing w:after="40"/>
            </w:pPr>
            <w:r>
              <w:rPr>
                <w:b w:val="false"/>
                <w:bCs w:val="false"/>
                <w:color w:val="222222"/>
                <w:sz w:val="19"/>
                <w:szCs w:val="19"/>
              </w:rPr>
              <w:t xml:space="preserve">Request, Catalog</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Catalog Manager</w:t>
            </w:r>
          </w:p>
        </w:tc>
        <w:tc>
          <w:tcPr>
            <w:tcW w:type="dxa" w:w="3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Maintains catalog items, categories, and visibility rules.</w:t>
            </w:r>
          </w:p>
          <w:p>
            <w:pPr>
              <w:spacing w:after="40"/>
            </w:pPr>
            <w:r>
              <w:rPr>
                <w:b w:val="false"/>
                <w:bCs w:val="false"/>
                <w:color w:val="222222"/>
                <w:sz w:val="19"/>
                <w:szCs w:val="19"/>
              </w:rPr>
              <w:t xml:space="preserve">Reviews item accuracy and demand.</w:t>
            </w:r>
          </w:p>
        </w:tc>
        <w:tc>
          <w:tcPr>
            <w:tcW w:type="dxa" w:w="3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Catalog, Request</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Service Desk / IT Manager</w:t>
            </w:r>
          </w:p>
        </w:tc>
        <w:tc>
          <w:tcPr>
            <w:tcW w:type="dxa" w:w="3600"/>
            <w:tcMar>
              <w:top w:type="dxa" w:w="90"/>
              <w:left w:type="dxa" w:w="120"/>
              <w:bottom w:type="dxa" w:w="90"/>
              <w:right w:type="dxa" w:w="120"/>
            </w:tcMar>
            <w:vAlign w:val="center"/>
          </w:tcPr>
          <w:p>
            <w:pPr>
              <w:spacing w:after="40"/>
            </w:pPr>
            <w:r>
              <w:rPr>
                <w:b w:val="false"/>
                <w:bCs w:val="false"/>
                <w:color w:val="222222"/>
                <w:sz w:val="19"/>
                <w:szCs w:val="19"/>
              </w:rPr>
              <w:t xml:space="preserve">Monitors service-level compliance across modules.</w:t>
            </w:r>
          </w:p>
          <w:p>
            <w:pPr>
              <w:spacing w:after="40"/>
            </w:pPr>
            <w:r>
              <w:rPr>
                <w:b w:val="false"/>
                <w:bCs w:val="false"/>
                <w:color w:val="222222"/>
                <w:sz w:val="19"/>
                <w:szCs w:val="19"/>
              </w:rPr>
              <w:t xml:space="preserve">Coordinates major incidents and escalations.</w:t>
            </w:r>
          </w:p>
        </w:tc>
        <w:tc>
          <w:tcPr>
            <w:tcW w:type="dxa" w:w="3000"/>
            <w:tcMar>
              <w:top w:type="dxa" w:w="90"/>
              <w:left w:type="dxa" w:w="120"/>
              <w:bottom w:type="dxa" w:w="90"/>
              <w:right w:type="dxa" w:w="120"/>
            </w:tcMar>
            <w:vAlign w:val="center"/>
          </w:tcPr>
          <w:p>
            <w:pPr>
              <w:spacing w:after="40"/>
            </w:pPr>
            <w:r>
              <w:rPr>
                <w:b w:val="false"/>
                <w:bCs w:val="false"/>
                <w:color w:val="222222"/>
                <w:sz w:val="19"/>
                <w:szCs w:val="19"/>
              </w:rPr>
              <w:t xml:space="preserve">All Modules</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Product Owner / Customer</w:t>
            </w:r>
          </w:p>
        </w:tc>
        <w:tc>
          <w:tcPr>
            <w:tcW w:type="dxa" w:w="3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Approves requirements and priorities.</w:t>
            </w:r>
          </w:p>
          <w:p>
            <w:pPr>
              <w:spacing w:after="40"/>
            </w:pPr>
            <w:r>
              <w:rPr>
                <w:b w:val="false"/>
                <w:bCs w:val="false"/>
                <w:color w:val="222222"/>
                <w:sz w:val="19"/>
                <w:szCs w:val="19"/>
              </w:rPr>
              <w:t xml:space="preserve">Reviews reporting and signs off on acceptance testing.</w:t>
            </w:r>
          </w:p>
        </w:tc>
        <w:tc>
          <w:tcPr>
            <w:tcW w:type="dxa" w:w="30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All Modules</w:t>
            </w:r>
          </w:p>
        </w:tc>
      </w:tr>
    </w:tbl>
    <w:p>
      <w:r>
        <w:br w:type="page"/>
      </w:r>
    </w:p>
    <w:p>
      <w:pPr>
        <w:pStyle w:val="Heading1"/>
        <w:pBdr>
          <w:bottom w:val="single" w:color="1A2744" w:sz="6" w:space="4"/>
        </w:pBdr>
        <w:spacing w:after="200" w:before="400"/>
      </w:pPr>
      <w:r>
        <w:rPr>
          <w:b/>
          <w:bCs/>
          <w:color w:val="1A2744"/>
          <w:sz w:val="30"/>
          <w:szCs w:val="30"/>
        </w:rPr>
        <w:t xml:space="preserve">5. Definitions &amp; Glossary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cantSplit/>
          <w:tblHeader/>
        </w:trPr>
        <w:tc>
          <w:tcPr>
            <w:tcW w:type="dxa" w:w="2400"/>
            <w:shd w:fill="1A2744" w:val="clear"/>
            <w:tcMar>
              <w:top w:type="dxa" w:w="100"/>
              <w:left w:type="dxa" w:w="120"/>
              <w:bottom w:type="dxa" w:w="100"/>
              <w:right w:type="dxa" w:w="120"/>
            </w:tcMar>
            <w:vAlign w:val="center"/>
          </w:tcPr>
          <w:p>
            <w:r>
              <w:rPr>
                <w:b/>
                <w:bCs/>
                <w:color w:val="FFFFFF"/>
                <w:sz w:val="19"/>
                <w:szCs w:val="19"/>
              </w:rPr>
              <w:t xml:space="preserve">Term</w:t>
            </w:r>
          </w:p>
        </w:tc>
        <w:tc>
          <w:tcPr>
            <w:tcW w:type="dxa" w:w="6400"/>
            <w:shd w:fill="1A2744" w:val="clear"/>
            <w:tcMar>
              <w:top w:type="dxa" w:w="100"/>
              <w:left w:type="dxa" w:w="120"/>
              <w:bottom w:type="dxa" w:w="100"/>
              <w:right w:type="dxa" w:w="120"/>
            </w:tcMar>
            <w:vAlign w:val="center"/>
          </w:tcPr>
          <w:p>
            <w:r>
              <w:rPr>
                <w:b/>
                <w:bCs/>
                <w:color w:val="FFFFFF"/>
                <w:sz w:val="19"/>
                <w:szCs w:val="19"/>
              </w:rPr>
              <w:t xml:space="preserve">Definition</w:t>
            </w:r>
          </w:p>
        </w:tc>
      </w:tr>
      <w:tr>
        <w:trPr>
          <w:cantSplit/>
        </w:trPr>
        <w:tc>
          <w:tcPr>
            <w:tcW w:type="dxa" w:w="2400"/>
            <w:tcMar>
              <w:top w:type="dxa" w:w="90"/>
              <w:left w:type="dxa" w:w="120"/>
              <w:bottom w:type="dxa" w:w="90"/>
              <w:right w:type="dxa" w:w="120"/>
            </w:tcMar>
            <w:vAlign w:val="center"/>
          </w:tcPr>
          <w:p>
            <w:pPr>
              <w:spacing w:after="40"/>
            </w:pPr>
            <w:r>
              <w:rPr>
                <w:b w:val="false"/>
                <w:bCs w:val="false"/>
                <w:color w:val="222222"/>
                <w:sz w:val="19"/>
                <w:szCs w:val="19"/>
              </w:rPr>
              <w:t xml:space="preserve">Incident</w:t>
            </w:r>
          </w:p>
        </w:tc>
        <w:tc>
          <w:tcPr>
            <w:tcW w:type="dxa" w:w="6400"/>
            <w:tcMar>
              <w:top w:type="dxa" w:w="90"/>
              <w:left w:type="dxa" w:w="120"/>
              <w:bottom w:type="dxa" w:w="90"/>
              <w:right w:type="dxa" w:w="120"/>
            </w:tcMar>
            <w:vAlign w:val="center"/>
          </w:tcPr>
          <w:p>
            <w:pPr>
              <w:spacing w:after="40"/>
            </w:pPr>
            <w:r>
              <w:rPr>
                <w:b w:val="false"/>
                <w:bCs w:val="false"/>
                <w:color w:val="222222"/>
                <w:sz w:val="19"/>
                <w:szCs w:val="19"/>
              </w:rPr>
              <w:t xml:space="preserve">An unplanned interruption to, or reduction in the quality of, an IT service.</w:t>
            </w:r>
          </w:p>
        </w:tc>
      </w:tr>
      <w:tr>
        <w:trPr>
          <w:cantSplit/>
        </w:trPr>
        <w:tc>
          <w:tcPr>
            <w:tcW w:type="dxa" w:w="2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Problem</w:t>
            </w:r>
          </w:p>
        </w:tc>
        <w:tc>
          <w:tcPr>
            <w:tcW w:type="dxa" w:w="6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underlying cause of one or more incidents.</w:t>
            </w:r>
          </w:p>
        </w:tc>
      </w:tr>
      <w:tr>
        <w:trPr>
          <w:cantSplit/>
        </w:trPr>
        <w:tc>
          <w:tcPr>
            <w:tcW w:type="dxa" w:w="2400"/>
            <w:tcMar>
              <w:top w:type="dxa" w:w="90"/>
              <w:left w:type="dxa" w:w="120"/>
              <w:bottom w:type="dxa" w:w="90"/>
              <w:right w:type="dxa" w:w="120"/>
            </w:tcMar>
            <w:vAlign w:val="center"/>
          </w:tcPr>
          <w:p>
            <w:pPr>
              <w:spacing w:after="40"/>
            </w:pPr>
            <w:r>
              <w:rPr>
                <w:b w:val="false"/>
                <w:bCs w:val="false"/>
                <w:color w:val="222222"/>
                <w:sz w:val="19"/>
                <w:szCs w:val="19"/>
              </w:rPr>
              <w:t xml:space="preserve">Known Error</w:t>
            </w:r>
          </w:p>
        </w:tc>
        <w:tc>
          <w:tcPr>
            <w:tcW w:type="dxa" w:w="6400"/>
            <w:tcMar>
              <w:top w:type="dxa" w:w="90"/>
              <w:left w:type="dxa" w:w="120"/>
              <w:bottom w:type="dxa" w:w="90"/>
              <w:right w:type="dxa" w:w="120"/>
            </w:tcMar>
            <w:vAlign w:val="center"/>
          </w:tcPr>
          <w:p>
            <w:pPr>
              <w:spacing w:after="40"/>
            </w:pPr>
            <w:r>
              <w:rPr>
                <w:b w:val="false"/>
                <w:bCs w:val="false"/>
                <w:color w:val="222222"/>
                <w:sz w:val="19"/>
                <w:szCs w:val="19"/>
              </w:rPr>
              <w:t xml:space="preserve">A problem with a confirmed root cause, for which a workaround or fix exists.</w:t>
            </w:r>
          </w:p>
        </w:tc>
      </w:tr>
      <w:tr>
        <w:trPr>
          <w:cantSplit/>
        </w:trPr>
        <w:tc>
          <w:tcPr>
            <w:tcW w:type="dxa" w:w="2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Change</w:t>
            </w:r>
          </w:p>
        </w:tc>
        <w:tc>
          <w:tcPr>
            <w:tcW w:type="dxa" w:w="6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Any addition, modification, or removal of a service, system, or component.</w:t>
            </w:r>
          </w:p>
        </w:tc>
      </w:tr>
      <w:tr>
        <w:trPr>
          <w:cantSplit/>
        </w:trPr>
        <w:tc>
          <w:tcPr>
            <w:tcW w:type="dxa" w:w="2400"/>
            <w:tcMar>
              <w:top w:type="dxa" w:w="90"/>
              <w:left w:type="dxa" w:w="120"/>
              <w:bottom w:type="dxa" w:w="90"/>
              <w:right w:type="dxa" w:w="120"/>
            </w:tcMar>
            <w:vAlign w:val="center"/>
          </w:tcPr>
          <w:p>
            <w:pPr>
              <w:spacing w:after="40"/>
            </w:pPr>
            <w:r>
              <w:rPr>
                <w:b w:val="false"/>
                <w:bCs w:val="false"/>
                <w:color w:val="222222"/>
                <w:sz w:val="19"/>
                <w:szCs w:val="19"/>
              </w:rPr>
              <w:t xml:space="preserve">Change Advisory Board</w:t>
            </w:r>
          </w:p>
        </w:tc>
        <w:tc>
          <w:tcPr>
            <w:tcW w:type="dxa" w:w="6400"/>
            <w:tcMar>
              <w:top w:type="dxa" w:w="90"/>
              <w:left w:type="dxa" w:w="120"/>
              <w:bottom w:type="dxa" w:w="90"/>
              <w:right w:type="dxa" w:w="120"/>
            </w:tcMar>
            <w:vAlign w:val="center"/>
          </w:tcPr>
          <w:p>
            <w:pPr>
              <w:spacing w:after="40"/>
            </w:pPr>
            <w:r>
              <w:rPr>
                <w:b w:val="false"/>
                <w:bCs w:val="false"/>
                <w:color w:val="222222"/>
                <w:sz w:val="19"/>
                <w:szCs w:val="19"/>
              </w:rPr>
              <w:t xml:space="preserve">A designated group responsible for reviewing and authorizing higher-risk changes.</w:t>
            </w:r>
          </w:p>
        </w:tc>
      </w:tr>
      <w:tr>
        <w:trPr>
          <w:cantSplit/>
        </w:trPr>
        <w:tc>
          <w:tcPr>
            <w:tcW w:type="dxa" w:w="2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Request</w:t>
            </w:r>
          </w:p>
        </w:tc>
        <w:tc>
          <w:tcPr>
            <w:tcW w:type="dxa" w:w="6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planned ask from a user for a standard service, item, or piece of information.</w:t>
            </w:r>
          </w:p>
        </w:tc>
      </w:tr>
      <w:tr>
        <w:trPr>
          <w:cantSplit/>
        </w:trPr>
        <w:tc>
          <w:tcPr>
            <w:tcW w:type="dxa" w:w="2400"/>
            <w:tcMar>
              <w:top w:type="dxa" w:w="90"/>
              <w:left w:type="dxa" w:w="120"/>
              <w:bottom w:type="dxa" w:w="90"/>
              <w:right w:type="dxa" w:w="120"/>
            </w:tcMar>
            <w:vAlign w:val="center"/>
          </w:tcPr>
          <w:p>
            <w:pPr>
              <w:spacing w:after="40"/>
            </w:pPr>
            <w:r>
              <w:rPr>
                <w:b w:val="false"/>
                <w:bCs w:val="false"/>
                <w:color w:val="222222"/>
                <w:sz w:val="19"/>
                <w:szCs w:val="19"/>
              </w:rPr>
              <w:t xml:space="preserve">Catalog Item</w:t>
            </w:r>
          </w:p>
        </w:tc>
        <w:tc>
          <w:tcPr>
            <w:tcW w:type="dxa" w:w="6400"/>
            <w:tcMar>
              <w:top w:type="dxa" w:w="90"/>
              <w:left w:type="dxa" w:w="120"/>
              <w:bottom w:type="dxa" w:w="90"/>
              <w:right w:type="dxa" w:w="120"/>
            </w:tcMar>
            <w:vAlign w:val="center"/>
          </w:tcPr>
          <w:p>
            <w:pPr>
              <w:spacing w:after="40"/>
            </w:pPr>
            <w:r>
              <w:rPr>
                <w:b w:val="false"/>
                <w:bCs w:val="false"/>
                <w:color w:val="222222"/>
                <w:sz w:val="19"/>
                <w:szCs w:val="19"/>
              </w:rPr>
              <w:t xml:space="preserve">An individually configured, requestable entry in the service catalog.</w:t>
            </w:r>
          </w:p>
        </w:tc>
      </w:tr>
      <w:tr>
        <w:trPr>
          <w:cantSplit/>
        </w:trPr>
        <w:tc>
          <w:tcPr>
            <w:tcW w:type="dxa" w:w="2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Knowledge Article</w:t>
            </w:r>
          </w:p>
        </w:tc>
        <w:tc>
          <w:tcPr>
            <w:tcW w:type="dxa" w:w="6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published piece of content describing a solution, guide, or reference information.</w:t>
            </w:r>
          </w:p>
        </w:tc>
      </w:tr>
      <w:tr>
        <w:trPr>
          <w:cantSplit/>
        </w:trPr>
        <w:tc>
          <w:tcPr>
            <w:tcW w:type="dxa" w:w="2400"/>
            <w:tcMar>
              <w:top w:type="dxa" w:w="90"/>
              <w:left w:type="dxa" w:w="120"/>
              <w:bottom w:type="dxa" w:w="90"/>
              <w:right w:type="dxa" w:w="120"/>
            </w:tcMar>
            <w:vAlign w:val="center"/>
          </w:tcPr>
          <w:p>
            <w:pPr>
              <w:spacing w:after="40"/>
            </w:pPr>
            <w:r>
              <w:rPr>
                <w:b w:val="false"/>
                <w:bCs w:val="false"/>
                <w:color w:val="222222"/>
                <w:sz w:val="19"/>
                <w:szCs w:val="19"/>
              </w:rPr>
              <w:t xml:space="preserve">Service Level</w:t>
            </w:r>
          </w:p>
        </w:tc>
        <w:tc>
          <w:tcPr>
            <w:tcW w:type="dxa" w:w="6400"/>
            <w:tcMar>
              <w:top w:type="dxa" w:w="90"/>
              <w:left w:type="dxa" w:w="120"/>
              <w:bottom w:type="dxa" w:w="90"/>
              <w:right w:type="dxa" w:w="120"/>
            </w:tcMar>
            <w:vAlign w:val="center"/>
          </w:tcPr>
          <w:p>
            <w:pPr>
              <w:spacing w:after="40"/>
            </w:pPr>
            <w:r>
              <w:rPr>
                <w:b w:val="false"/>
                <w:bCs w:val="false"/>
                <w:color w:val="222222"/>
                <w:sz w:val="19"/>
                <w:szCs w:val="19"/>
              </w:rPr>
              <w:t xml:space="preserve">The agreed target time for response and/or resolution of an incident or request.</w:t>
            </w:r>
          </w:p>
        </w:tc>
      </w:tr>
      <w:tr>
        <w:trPr>
          <w:cantSplit/>
        </w:trPr>
        <w:tc>
          <w:tcPr>
            <w:tcW w:type="dxa" w:w="2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Affected Service / Component</w:t>
            </w:r>
          </w:p>
        </w:tc>
        <w:tc>
          <w:tcPr>
            <w:tcW w:type="dxa" w:w="64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specific IT service, application, or piece of infrastructure impacted by an incident, problem, or change.</w:t>
            </w:r>
          </w:p>
        </w:tc>
      </w:tr>
    </w:tbl>
    <w:p>
      <w:pPr>
        <w:pStyle w:val="Heading1"/>
        <w:pBdr>
          <w:bottom w:val="single" w:color="1A2744" w:sz="6" w:space="4"/>
        </w:pBdr>
        <w:spacing w:after="200" w:before="400"/>
      </w:pPr>
      <w:r>
        <w:rPr>
          <w:b/>
          <w:bCs/>
          <w:color w:val="1A2744"/>
          <w:sz w:val="30"/>
          <w:szCs w:val="30"/>
        </w:rPr>
        <w:t xml:space="preserve">6. Solution Overview</w:t>
      </w:r>
    </w:p>
    <w:p>
      <w:pPr>
        <w:spacing w:after="160" w:line="276"/>
      </w:pPr>
      <w:r>
        <w:rPr>
          <w:color w:val="222222"/>
          <w:sz w:val="21"/>
          <w:szCs w:val="21"/>
        </w:rPr>
        <w:t xml:space="preserve">ITSM-Oryfolks is organized around six connected modules that together cover the full span of IT service activity — from unplanned disruptions through to planned requests and controlled changes. The diagram below (described narratively) illustrates how the modules relate to one another.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Module</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Role in the Platform</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Incident Management</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Captures and resolves unplanned service disruptions; the primary entry point for 'something is broken.'</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Problem Management</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Investigates the root cause behind incidents to prevent recurrence; fed by trends and major incidents.</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Change Management</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Controls the implementation of fixes and planned modifications, whether triggered by a problem, an incident, or a business need.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Knowledge Management</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Captures and shares solutions and guidance, feeding both agent diagnosis and user self-service.</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Service Catalog</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The storefront through which users discover available services and items.</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Request Management</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Tracks the fulfillment of anything submitted through the catalog, from approval through delivery.</w:t>
            </w:r>
          </w:p>
        </w:tc>
      </w:tr>
    </w:tbl>
    <w:p>
      <w:pPr>
        <w:spacing w:after="160" w:line="276"/>
      </w:pPr>
      <w:r>
        <w:rPr>
          <w:color w:val="222222"/>
          <w:sz w:val="21"/>
          <w:szCs w:val="21"/>
        </w:rPr>
        <w:t xml:space="preserve">A single incident, when it points to a deeper issue, can generate a linked problem; a problem, once diagnosed, can generate a linked change to implement the permanent fix; and knowledge captured from any of these can be published for future reuse. Requests raised through the catalog follow their own fulfillment path but share the same platform, reporting, and notification framework as the other modules.</w:t>
      </w:r>
    </w:p>
    <w:p>
      <w:r>
        <w:br w:type="page"/>
      </w:r>
    </w:p>
    <w:p>
      <w:pPr>
        <w:pStyle w:val="Heading1"/>
        <w:pBdr>
          <w:bottom w:val="single" w:color="1A2744" w:sz="6" w:space="4"/>
        </w:pBdr>
        <w:spacing w:after="200" w:before="400"/>
      </w:pPr>
      <w:r>
        <w:rPr>
          <w:b/>
          <w:bCs/>
          <w:color w:val="1A2744"/>
          <w:sz w:val="30"/>
          <w:szCs w:val="30"/>
        </w:rPr>
        <w:t xml:space="preserve">7. Functional Requirements by Module</w:t>
      </w:r>
    </w:p>
    <w:p>
      <w:pPr>
        <w:spacing w:after="160" w:line="276"/>
      </w:pPr>
      <w:r>
        <w:rPr>
          <w:color w:val="222222"/>
          <w:sz w:val="21"/>
          <w:szCs w:val="21"/>
        </w:rPr>
        <w:t xml:space="preserve">Requirements are grouped by module and assigned a unique Requirement ID for traceability into user stories, test cases, and the Requirements Traceability Matrix. Each requirement is tagged with a priority: Must (mandatory for launch), Should (important, may be phased), or Could (desirable, lower priority).</w:t>
      </w:r>
    </w:p>
    <w:p>
      <w:r>
        <w:br w:type="page"/>
      </w:r>
    </w:p>
    <w:p>
      <w:pPr>
        <w:pStyle w:val="Heading1"/>
        <w:pBdr>
          <w:bottom w:val="single" w:color="1A2744" w:sz="6" w:space="4"/>
        </w:pBdr>
        <w:spacing w:after="200" w:before="400"/>
      </w:pPr>
      <w:r>
        <w:rPr>
          <w:b/>
          <w:bCs/>
          <w:color w:val="1A2744"/>
          <w:sz w:val="30"/>
          <w:szCs w:val="30"/>
        </w:rPr>
        <w:t xml:space="preserve">7.1 Incident Management</w:t>
      </w:r>
    </w:p>
    <w:p>
      <w:pPr>
        <w:spacing w:after="160" w:line="276"/>
      </w:pPr>
      <w:r>
        <w:rPr>
          <w:color w:val="222222"/>
          <w:sz w:val="21"/>
          <w:szCs w:val="21"/>
        </w:rPr>
        <w:t xml:space="preserve">Incident Management provides a structured way to capture, track, and resolve any unplanned interruption or degradation of an IT service, with the goal of restoring normal operation as quickly as possible and minimizing impact on business activity.</w:t>
      </w:r>
    </w:p>
    <w:p>
      <w:pPr>
        <w:pStyle w:val="Heading2"/>
        <w:spacing w:after="140" w:before="280"/>
      </w:pPr>
      <w:r>
        <w:rPr>
          <w:b/>
          <w:bCs/>
          <w:color w:val="4472C4"/>
          <w:sz w:val="24"/>
          <w:szCs w:val="24"/>
        </w:rPr>
        <w:t xml:space="preserve">Core Capabilities</w:t>
      </w:r>
    </w:p>
    <w:p>
      <w:pPr>
        <w:pStyle w:val="ListParagraph"/>
        <w:numPr>
          <w:ilvl w:val="0"/>
          <w:numId w:val="2"/>
        </w:numPr>
        <w:spacing w:after="80"/>
      </w:pPr>
      <w:r>
        <w:rPr>
          <w:color w:val="222222"/>
          <w:sz w:val="21"/>
          <w:szCs w:val="21"/>
        </w:rPr>
        <w:t xml:space="preserve">Multi-channel incident logging: self-service portal, email, phone, and automated alerts from monitoring tools.</w:t>
      </w:r>
    </w:p>
    <w:p>
      <w:pPr>
        <w:pStyle w:val="ListParagraph"/>
        <w:numPr>
          <w:ilvl w:val="0"/>
          <w:numId w:val="2"/>
        </w:numPr>
        <w:spacing w:after="80"/>
      </w:pPr>
      <w:r>
        <w:rPr>
          <w:color w:val="222222"/>
          <w:sz w:val="21"/>
          <w:szCs w:val="21"/>
        </w:rPr>
        <w:t xml:space="preserve">Automatic categorization, prioritization, and routing to the correct support team.</w:t>
      </w:r>
    </w:p>
    <w:p>
      <w:pPr>
        <w:pStyle w:val="ListParagraph"/>
        <w:numPr>
          <w:ilvl w:val="0"/>
          <w:numId w:val="2"/>
        </w:numPr>
        <w:spacing w:after="80"/>
      </w:pPr>
      <w:r>
        <w:rPr>
          <w:color w:val="222222"/>
          <w:sz w:val="21"/>
          <w:szCs w:val="21"/>
        </w:rPr>
        <w:t xml:space="preserve">Guided diagnosis supported by a searchable knowledge base.</w:t>
      </w:r>
    </w:p>
    <w:p>
      <w:pPr>
        <w:pStyle w:val="ListParagraph"/>
        <w:numPr>
          <w:ilvl w:val="0"/>
          <w:numId w:val="2"/>
        </w:numPr>
        <w:spacing w:after="80"/>
      </w:pPr>
      <w:r>
        <w:rPr>
          <w:color w:val="222222"/>
          <w:sz w:val="21"/>
          <w:szCs w:val="21"/>
        </w:rPr>
        <w:t xml:space="preserve">Escalation and major-incident handling with real-time stakeholder communication.</w:t>
      </w:r>
    </w:p>
    <w:p>
      <w:pPr>
        <w:pStyle w:val="ListParagraph"/>
        <w:numPr>
          <w:ilvl w:val="0"/>
          <w:numId w:val="2"/>
        </w:numPr>
        <w:spacing w:after="80"/>
      </w:pPr>
      <w:r>
        <w:rPr>
          <w:color w:val="222222"/>
          <w:sz w:val="21"/>
          <w:szCs w:val="21"/>
        </w:rPr>
        <w:t xml:space="preserve">Service-level tracking with automatic timers, warnings, and breach notifications.</w:t>
      </w:r>
    </w:p>
    <w:p>
      <w:pPr>
        <w:pStyle w:val="ListParagraph"/>
        <w:numPr>
          <w:ilvl w:val="0"/>
          <w:numId w:val="2"/>
        </w:numPr>
        <w:spacing w:after="80"/>
      </w:pPr>
      <w:r>
        <w:rPr>
          <w:color w:val="222222"/>
          <w:sz w:val="21"/>
          <w:szCs w:val="21"/>
        </w:rPr>
        <w:t xml:space="preserve">Full audit history of every status change, assignment, and communication.</w:t>
      </w:r>
    </w:p>
    <w:p>
      <w:pPr>
        <w:pStyle w:val="Heading2"/>
        <w:spacing w:after="140" w:before="280"/>
      </w:pPr>
      <w:r>
        <w:rPr>
          <w:b/>
          <w:bCs/>
          <w:color w:val="4472C4"/>
          <w:sz w:val="24"/>
          <w:szCs w:val="24"/>
        </w:rPr>
        <w:t xml:space="preserve">Process Flow</w:t>
      </w:r>
    </w:p>
    <w:p>
      <w:pPr>
        <w:pStyle w:val="ListParagraph"/>
        <w:numPr>
          <w:ilvl w:val="0"/>
          <w:numId w:val="3"/>
        </w:numPr>
        <w:spacing w:after="100"/>
      </w:pPr>
      <w:r>
        <w:rPr>
          <w:color w:val="222222"/>
          <w:sz w:val="21"/>
          <w:szCs w:val="21"/>
        </w:rPr>
        <w:t xml:space="preserve">Logging — an incident is captured with mandatory details (reporter, description, affected service, impact).</w:t>
      </w:r>
    </w:p>
    <w:p>
      <w:pPr>
        <w:pStyle w:val="ListParagraph"/>
        <w:numPr>
          <w:ilvl w:val="0"/>
          <w:numId w:val="3"/>
        </w:numPr>
        <w:spacing w:after="100"/>
      </w:pPr>
      <w:r>
        <w:rPr>
          <w:color w:val="222222"/>
          <w:sz w:val="21"/>
          <w:szCs w:val="21"/>
        </w:rPr>
        <w:t xml:space="preserve">Categorization &amp; Prioritization — the incident is classified and assigned a priority based on impact and urgency.</w:t>
      </w:r>
    </w:p>
    <w:p>
      <w:pPr>
        <w:pStyle w:val="ListParagraph"/>
        <w:numPr>
          <w:ilvl w:val="0"/>
          <w:numId w:val="3"/>
        </w:numPr>
        <w:spacing w:after="100"/>
      </w:pPr>
      <w:r>
        <w:rPr>
          <w:color w:val="222222"/>
          <w:sz w:val="21"/>
          <w:szCs w:val="21"/>
        </w:rPr>
        <w:t xml:space="preserve">Assignment — the incident is routed to the appropriate support team, automatically or manually.</w:t>
      </w:r>
    </w:p>
    <w:p>
      <w:pPr>
        <w:pStyle w:val="ListParagraph"/>
        <w:numPr>
          <w:ilvl w:val="0"/>
          <w:numId w:val="3"/>
        </w:numPr>
        <w:spacing w:after="100"/>
      </w:pPr>
      <w:r>
        <w:rPr>
          <w:color w:val="222222"/>
          <w:sz w:val="21"/>
          <w:szCs w:val="21"/>
        </w:rPr>
        <w:t xml:space="preserve">Diagnosis — the support team investigates, using knowledge articles and collaboration tools as needed.</w:t>
      </w:r>
    </w:p>
    <w:p>
      <w:pPr>
        <w:pStyle w:val="ListParagraph"/>
        <w:numPr>
          <w:ilvl w:val="0"/>
          <w:numId w:val="3"/>
        </w:numPr>
        <w:spacing w:after="100"/>
      </w:pPr>
      <w:r>
        <w:rPr>
          <w:color w:val="222222"/>
          <w:sz w:val="21"/>
          <w:szCs w:val="21"/>
        </w:rPr>
        <w:t xml:space="preserve">Resolution &amp; Recovery — a fix or workaround is applied and documented; the reporter is notified.</w:t>
      </w:r>
    </w:p>
    <w:p>
      <w:pPr>
        <w:pStyle w:val="ListParagraph"/>
        <w:numPr>
          <w:ilvl w:val="0"/>
          <w:numId w:val="3"/>
        </w:numPr>
        <w:spacing w:after="100"/>
      </w:pPr>
      <w:r>
        <w:rPr>
          <w:color w:val="222222"/>
          <w:sz w:val="21"/>
          <w:szCs w:val="21"/>
        </w:rPr>
        <w:t xml:space="preserve">Closure — the reporter confirms resolution (or the record auto-closes after a defined inactivity period).</w:t>
      </w:r>
    </w:p>
    <w:p>
      <w:pPr>
        <w:pStyle w:val="ListParagraph"/>
        <w:numPr>
          <w:ilvl w:val="0"/>
          <w:numId w:val="3"/>
        </w:numPr>
        <w:spacing w:after="100"/>
      </w:pPr>
      <w:r>
        <w:rPr>
          <w:color w:val="222222"/>
          <w:sz w:val="21"/>
          <w:szCs w:val="21"/>
        </w:rPr>
        <w:t xml:space="preserve">Review — for major incidents, a root-cause review is completed and linked to a permanent-fix record.</w:t>
      </w:r>
    </w:p>
    <w:p>
      <w:pPr>
        <w:spacing w:after="120"/>
      </w:pPr>
    </w:p>
    <w:p>
      <w:pPr>
        <w:pStyle w:val="Heading3"/>
        <w:spacing w:after="100" w:before="200"/>
      </w:pPr>
      <w:r>
        <w:rPr>
          <w:b/>
          <w:bCs/>
          <w:color w:val="1A2744"/>
          <w:sz w:val="21"/>
          <w:szCs w:val="21"/>
        </w:rPr>
        <w:t xml:space="preserve">Status Lifecycle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Status</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Description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New</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Incident logged; not yet assigned or triaged.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 Progress</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Actively being worked by an assigned agent or team.</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On Hold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Awaiting a response from the reporter, a third party, or a scheduled change.</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Resolved</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fix or workaround has been applied; pending confirmation.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Closed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Confirmed resolved or auto-closed; service-level outcome finalized.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Cancelled</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Logged in error, duplicate, or withdrawn by the reporter.</w:t>
            </w:r>
          </w:p>
        </w:tc>
      </w:tr>
    </w:tbl>
    <w:p>
      <w:pPr>
        <w:spacing w:after="120"/>
      </w:pPr>
    </w:p>
    <w:p>
      <w:pPr>
        <w:pStyle w:val="Heading3"/>
        <w:spacing w:after="100" w:before="200"/>
      </w:pPr>
      <w:r>
        <w:rPr>
          <w:b/>
          <w:bCs/>
          <w:color w:val="1A2744"/>
          <w:sz w:val="21"/>
          <w:szCs w:val="21"/>
        </w:rPr>
        <w:t xml:space="preserve">Priority Matrix</w:t>
      </w:r>
    </w:p>
    <w:p>
      <w:pPr>
        <w:spacing w:after="160" w:line="276"/>
      </w:pPr>
      <w:r>
        <w:rPr>
          <w:color w:val="222222"/>
          <w:sz w:val="21"/>
          <w:szCs w:val="21"/>
        </w:rPr>
        <w:t xml:space="preserve">Priority is calculated automatically from Impact and Urgency, and determines the applicable service-level targets.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Impact \ Urgency</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High</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Medium</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Low</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High</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Priority 1 – Critical</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Priority 2 – High</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Priority 3 – Moderate</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Medium</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Priority 2 – High</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Priority 3 – Moderate</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Priority 4 – Low</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Low</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Priority 3 – Moderate</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Priority 4 – Low</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Priority 5 – Planning</w:t>
            </w:r>
          </w:p>
        </w:tc>
      </w:tr>
    </w:tbl>
    <w:p>
      <w:pPr>
        <w:spacing w:after="120"/>
      </w:pPr>
    </w:p>
    <w:p>
      <w:pPr>
        <w:pStyle w:val="Heading2"/>
        <w:spacing w:after="140" w:before="280"/>
      </w:pPr>
      <w:r>
        <w:rPr>
          <w:b/>
          <w:bCs/>
          <w:color w:val="4472C4"/>
          <w:sz w:val="24"/>
          <w:szCs w:val="24"/>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4350"/>
        <w:gridCol w:w="1200"/>
        <w:gridCol w:w="2600"/>
      </w:tblGrid>
      <w:tr>
        <w:trPr>
          <w:cantSplit/>
          <w:tblHeader/>
        </w:trPr>
        <w:tc>
          <w:tcPr>
            <w:tcW w:type="dxa" w:w="115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5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INC-FR-001</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incidents to be logged via self-service portal, email, phone, and automated monitoring integration.</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An incident record is created with the correct source recorded for all four channels.</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INC-FR-002</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enforce mandatory fields at logging: reporter, short description, category, impact, and urgency.</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record cannot be saved until all mandatory fields are completed.</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INC-FR-003</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auto-generate a unique reference number for every new incident.</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Every incident has a unique, sequential reference number.</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INC-FR-004</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automatically calculate priority from the Impact × Urgency matrix.</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Priority is system-derived and not manually editable by agents.</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INC-FR-005</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automatically route incidents to the correct support team based on category and affected service.</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Routing accuracy is verified against the agreed assignment rules.</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INC-FR-006</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surface relevant knowledge articles during diagnosis based on category and keywords.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top matching articles are displayed on the incident record.</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INC-FR-007</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require a resolution code and resolution notes before an incident can move to Resolved.</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The status change is blocked until both fields are completed.</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INC-FR-008</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notify the reporter automatically on resolution and request confirmation.</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reporter receives a notification with an option to confirm or reopen.</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INC-FR-009</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designation of an incident as a Major Incident, triggering an accelerated communication and escalation path.</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Major-incident flag enables the dedicated notification group and status cadence.</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INC-FR-010</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stop the service-level clock upon resolution and record whether the target was met or missed.</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service-level outcome is accurately reflected on the closed record.</w:t>
            </w:r>
          </w:p>
        </w:tc>
      </w:tr>
    </w:tbl>
    <w:p>
      <w:pPr>
        <w:spacing w:after="120"/>
      </w:pPr>
    </w:p>
    <w:p>
      <w:pPr>
        <w:pStyle w:val="Heading2"/>
        <w:spacing w:after="140" w:before="280"/>
      </w:pPr>
      <w:r>
        <w:rPr>
          <w:b/>
          <w:bCs/>
          <w:color w:val="4472C4"/>
          <w:sz w:val="24"/>
          <w:szCs w:val="24"/>
        </w:rPr>
        <w:t xml:space="preserve">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cantSplit/>
          <w:tblHeader/>
        </w:trPr>
        <w:tc>
          <w:tcPr>
            <w:tcW w:type="dxa" w:w="2600"/>
            <w:shd w:fill="1A2744" w:val="clear"/>
            <w:tcMar>
              <w:top w:type="dxa" w:w="100"/>
              <w:left w:type="dxa" w:w="120"/>
              <w:bottom w:type="dxa" w:w="100"/>
              <w:right w:type="dxa" w:w="120"/>
            </w:tcMar>
            <w:vAlign w:val="center"/>
          </w:tcPr>
          <w:p>
            <w:r>
              <w:rPr>
                <w:b/>
                <w:bCs/>
                <w:color w:val="FFFFFF"/>
                <w:sz w:val="19"/>
                <w:szCs w:val="19"/>
              </w:rPr>
              <w:t xml:space="preserve">KPI</w:t>
            </w:r>
          </w:p>
        </w:tc>
        <w:tc>
          <w:tcPr>
            <w:tcW w:type="dxa" w:w="4200"/>
            <w:shd w:fill="1A2744" w:val="clear"/>
            <w:tcMar>
              <w:top w:type="dxa" w:w="100"/>
              <w:left w:type="dxa" w:w="120"/>
              <w:bottom w:type="dxa" w:w="100"/>
              <w:right w:type="dxa" w:w="120"/>
            </w:tcMar>
            <w:vAlign w:val="center"/>
          </w:tcPr>
          <w:p>
            <w:r>
              <w:rPr>
                <w:b/>
                <w:bCs/>
                <w:color w:val="FFFFFF"/>
                <w:sz w:val="19"/>
                <w:szCs w:val="19"/>
              </w:rPr>
              <w:t xml:space="preserve">Definition</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Target</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Mean Time to Resolution</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Average time from logging to resolution.</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Per priority tier</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Service-Level Compliance</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Percentage of incidents resolved within the agreed target.</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95%</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First Contact Resolution</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Percentage resolved by the first support team without escalation.</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70%</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Reopen Rate</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Percentage of closed incidents reopened by the reporter.</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5%</w:t>
            </w:r>
          </w:p>
        </w:tc>
      </w:tr>
    </w:tbl>
    <w:p>
      <w:r>
        <w:br w:type="page"/>
      </w:r>
    </w:p>
    <w:p>
      <w:pPr>
        <w:pStyle w:val="Heading1"/>
        <w:pBdr>
          <w:bottom w:val="single" w:color="1A2744" w:sz="6" w:space="4"/>
        </w:pBdr>
        <w:spacing w:after="200" w:before="400"/>
      </w:pPr>
      <w:r>
        <w:rPr>
          <w:b/>
          <w:bCs/>
          <w:color w:val="1A2744"/>
          <w:sz w:val="30"/>
          <w:szCs w:val="30"/>
        </w:rPr>
        <w:t xml:space="preserve">7.2 Problem Management</w:t>
      </w:r>
    </w:p>
    <w:p>
      <w:pPr>
        <w:spacing w:after="160" w:line="276"/>
      </w:pPr>
      <w:r>
        <w:rPr>
          <w:color w:val="222222"/>
          <w:sz w:val="21"/>
          <w:szCs w:val="21"/>
        </w:rPr>
        <w:t xml:space="preserve">Problem Management identifies the underlying cause of one or more incidents, drives permanent fixes, and reduces the recurrence of similar disruptions. It works closely with Incident Management, using incident trends and data to detect patterns that warrant deeper investigation.</w:t>
      </w:r>
    </w:p>
    <w:p>
      <w:pPr>
        <w:pStyle w:val="Heading2"/>
        <w:spacing w:after="140" w:before="280"/>
      </w:pPr>
      <w:r>
        <w:rPr>
          <w:b/>
          <w:bCs/>
          <w:color w:val="4472C4"/>
          <w:sz w:val="24"/>
          <w:szCs w:val="24"/>
        </w:rPr>
        <w:t xml:space="preserve">Core Capabilities</w:t>
      </w:r>
    </w:p>
    <w:p>
      <w:pPr>
        <w:pStyle w:val="ListParagraph"/>
        <w:numPr>
          <w:ilvl w:val="0"/>
          <w:numId w:val="2"/>
        </w:numPr>
        <w:spacing w:after="80"/>
      </w:pPr>
      <w:r>
        <w:rPr>
          <w:color w:val="222222"/>
          <w:sz w:val="21"/>
          <w:szCs w:val="21"/>
        </w:rPr>
        <w:t xml:space="preserve">Creation of problem records manually or automatically from trends in related incidents.</w:t>
      </w:r>
    </w:p>
    <w:p>
      <w:pPr>
        <w:pStyle w:val="ListParagraph"/>
        <w:numPr>
          <w:ilvl w:val="0"/>
          <w:numId w:val="2"/>
        </w:numPr>
        <w:spacing w:after="80"/>
      </w:pPr>
      <w:r>
        <w:rPr>
          <w:color w:val="222222"/>
          <w:sz w:val="21"/>
          <w:szCs w:val="21"/>
        </w:rPr>
        <w:t xml:space="preserve">Root-cause investigation workspace with linked incidents, evidence, and findings.</w:t>
      </w:r>
    </w:p>
    <w:p>
      <w:pPr>
        <w:pStyle w:val="ListParagraph"/>
        <w:numPr>
          <w:ilvl w:val="0"/>
          <w:numId w:val="2"/>
        </w:numPr>
        <w:spacing w:after="80"/>
      </w:pPr>
      <w:r>
        <w:rPr>
          <w:color w:val="222222"/>
          <w:sz w:val="21"/>
          <w:szCs w:val="21"/>
        </w:rPr>
        <w:t xml:space="preserve">Structured root-cause analysis with defined investigation and diagnosis stages.</w:t>
      </w:r>
    </w:p>
    <w:p>
      <w:pPr>
        <w:pStyle w:val="ListParagraph"/>
        <w:numPr>
          <w:ilvl w:val="0"/>
          <w:numId w:val="2"/>
        </w:numPr>
        <w:spacing w:after="80"/>
      </w:pPr>
      <w:r>
        <w:rPr>
          <w:color w:val="222222"/>
          <w:sz w:val="21"/>
          <w:szCs w:val="21"/>
        </w:rPr>
        <w:t xml:space="preserve">Workaround publishing so support teams can mitigate impact while a permanent fix is developed.</w:t>
      </w:r>
    </w:p>
    <w:p>
      <w:pPr>
        <w:pStyle w:val="ListParagraph"/>
        <w:numPr>
          <w:ilvl w:val="0"/>
          <w:numId w:val="2"/>
        </w:numPr>
        <w:spacing w:after="80"/>
      </w:pPr>
      <w:r>
        <w:rPr>
          <w:color w:val="222222"/>
          <w:sz w:val="21"/>
          <w:szCs w:val="21"/>
        </w:rPr>
        <w:t xml:space="preserve">Linkage to a change record when a permanent fix requires a controlled implementation.</w:t>
      </w:r>
    </w:p>
    <w:p>
      <w:pPr>
        <w:pStyle w:val="ListParagraph"/>
        <w:numPr>
          <w:ilvl w:val="0"/>
          <w:numId w:val="2"/>
        </w:numPr>
        <w:spacing w:after="80"/>
      </w:pPr>
      <w:r>
        <w:rPr>
          <w:color w:val="222222"/>
          <w:sz w:val="21"/>
          <w:szCs w:val="21"/>
        </w:rPr>
        <w:t xml:space="preserve">Known-error tracking to prevent duplicate investigation of the same underlying cause.</w:t>
      </w:r>
    </w:p>
    <w:p>
      <w:pPr>
        <w:pStyle w:val="Heading2"/>
        <w:spacing w:after="140" w:before="280"/>
      </w:pPr>
      <w:r>
        <w:rPr>
          <w:b/>
          <w:bCs/>
          <w:color w:val="4472C4"/>
          <w:sz w:val="24"/>
          <w:szCs w:val="24"/>
        </w:rPr>
        <w:t xml:space="preserve">Process Flow</w:t>
      </w:r>
    </w:p>
    <w:p>
      <w:pPr>
        <w:pStyle w:val="ListParagraph"/>
        <w:numPr>
          <w:ilvl w:val="0"/>
          <w:numId w:val="3"/>
        </w:numPr>
        <w:spacing w:after="100"/>
      </w:pPr>
      <w:r>
        <w:rPr>
          <w:color w:val="222222"/>
          <w:sz w:val="21"/>
          <w:szCs w:val="21"/>
        </w:rPr>
        <w:t xml:space="preserve">Detection — a problem is identified from a major incident, a recurring pattern, or proactive analysis.</w:t>
      </w:r>
    </w:p>
    <w:p>
      <w:pPr>
        <w:pStyle w:val="ListParagraph"/>
        <w:numPr>
          <w:ilvl w:val="0"/>
          <w:numId w:val="3"/>
        </w:numPr>
        <w:spacing w:after="100"/>
      </w:pPr>
      <w:r>
        <w:rPr>
          <w:color w:val="222222"/>
          <w:sz w:val="21"/>
          <w:szCs w:val="21"/>
        </w:rPr>
        <w:t xml:space="preserve">Logging — a problem record is created and linked to the related incident(s).</w:t>
      </w:r>
    </w:p>
    <w:p>
      <w:pPr>
        <w:pStyle w:val="ListParagraph"/>
        <w:numPr>
          <w:ilvl w:val="0"/>
          <w:numId w:val="3"/>
        </w:numPr>
        <w:spacing w:after="100"/>
      </w:pPr>
      <w:r>
        <w:rPr>
          <w:color w:val="222222"/>
          <w:sz w:val="21"/>
          <w:szCs w:val="21"/>
        </w:rPr>
        <w:t xml:space="preserve">Investigation — the root cause is analyzed using diagnostic data, logs, and collaboration with technical teams.</w:t>
      </w:r>
    </w:p>
    <w:p>
      <w:pPr>
        <w:pStyle w:val="ListParagraph"/>
        <w:numPr>
          <w:ilvl w:val="0"/>
          <w:numId w:val="3"/>
        </w:numPr>
        <w:spacing w:after="100"/>
      </w:pPr>
      <w:r>
        <w:rPr>
          <w:color w:val="222222"/>
          <w:sz w:val="21"/>
          <w:szCs w:val="21"/>
        </w:rPr>
        <w:t xml:space="preserve">Workaround — a temporary mitigation is documented and published if one is available.</w:t>
      </w:r>
    </w:p>
    <w:p>
      <w:pPr>
        <w:pStyle w:val="ListParagraph"/>
        <w:numPr>
          <w:ilvl w:val="0"/>
          <w:numId w:val="3"/>
        </w:numPr>
        <w:spacing w:after="100"/>
      </w:pPr>
      <w:r>
        <w:rPr>
          <w:color w:val="222222"/>
          <w:sz w:val="21"/>
          <w:szCs w:val="21"/>
        </w:rPr>
        <w:t xml:space="preserve">Root-Cause Confirmation — the confirmed cause is recorded as a known error.</w:t>
      </w:r>
    </w:p>
    <w:p>
      <w:pPr>
        <w:pStyle w:val="ListParagraph"/>
        <w:numPr>
          <w:ilvl w:val="0"/>
          <w:numId w:val="3"/>
        </w:numPr>
        <w:spacing w:after="100"/>
      </w:pPr>
      <w:r>
        <w:rPr>
          <w:color w:val="222222"/>
          <w:sz w:val="21"/>
          <w:szCs w:val="21"/>
        </w:rPr>
        <w:t xml:space="preserve">Resolution — a permanent fix is planned, implemented (via a linked change when needed), and verified.</w:t>
      </w:r>
    </w:p>
    <w:p>
      <w:pPr>
        <w:pStyle w:val="ListParagraph"/>
        <w:numPr>
          <w:ilvl w:val="0"/>
          <w:numId w:val="3"/>
        </w:numPr>
        <w:spacing w:after="100"/>
      </w:pPr>
      <w:r>
        <w:rPr>
          <w:color w:val="222222"/>
          <w:sz w:val="21"/>
          <w:szCs w:val="21"/>
        </w:rPr>
        <w:t xml:space="preserve">Closure — the problem is closed once the fix is confirmed effective; lessons learned are captured.</w:t>
      </w:r>
    </w:p>
    <w:p>
      <w:pPr>
        <w:spacing w:after="120"/>
      </w:pPr>
    </w:p>
    <w:p>
      <w:pPr>
        <w:pStyle w:val="Heading3"/>
        <w:spacing w:after="100" w:before="200"/>
      </w:pPr>
      <w:r>
        <w:rPr>
          <w:b/>
          <w:bCs/>
          <w:color w:val="1A2744"/>
          <w:sz w:val="21"/>
          <w:szCs w:val="21"/>
        </w:rPr>
        <w:t xml:space="preserve">Status Lifecycle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Status</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Description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New</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Problem identified and logged; investigation not yet started.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Under Investigation</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Root-cause analysis actively in progress.</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Known Error</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Root cause confirmed; workaround available while a permanent fix is planned.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Pending Change</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permanent fix has been defined and is awaiting implementation via a linked change.</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Resolved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The permanent fix has been implemented and verified.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Closed</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Problem closed with resolution and lessons learned documented.</w:t>
            </w:r>
          </w:p>
        </w:tc>
      </w:tr>
    </w:tbl>
    <w:p>
      <w:pPr>
        <w:spacing w:after="120"/>
      </w:pPr>
    </w:p>
    <w:p>
      <w:pPr>
        <w:pStyle w:val="Heading2"/>
        <w:spacing w:after="140" w:before="280"/>
      </w:pPr>
      <w:r>
        <w:rPr>
          <w:b/>
          <w:bCs/>
          <w:color w:val="4472C4"/>
          <w:sz w:val="24"/>
          <w:szCs w:val="24"/>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4350"/>
        <w:gridCol w:w="1200"/>
        <w:gridCol w:w="2600"/>
      </w:tblGrid>
      <w:tr>
        <w:trPr>
          <w:cantSplit/>
          <w:tblHeader/>
        </w:trPr>
        <w:tc>
          <w:tcPr>
            <w:tcW w:type="dxa" w:w="115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5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PRB-FR-001</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problem record to be created manually or automatically when incident volume for a category exceeds a defined threshold.</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Problem records are created with linkage to the triggering incident(s).</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PRB-FR-002</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multiple incidents to be linked to a single problem record.</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All linked incidents display a reference to the parent problem.</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PRB-FR-003</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provide a structured workspace to capture root-cause findings, evidence, and investigation notes.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Investigation notes are timestamped and attributable to the investigating user.</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PRB-FR-004</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workaround to be published and made visible to support teams handling related incidents.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Published workarounds appear on linked incident records.</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PRB-FR-005</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designation of a confirmed root cause as a known error, searchable by future investigators.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Known errors are retrievable via search by category or keyword.</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PRB-FR-006</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problem record to be linked to a change record when implementation of a permanent fix is required.</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problem record reflects the linked change and its current status.</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PRB-FR-007</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require confirmation of fix effectiveness before a problem can be closed.</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Closure is blocked until an effectiveness confirmation is recorded.</w:t>
            </w:r>
          </w:p>
        </w:tc>
      </w:tr>
    </w:tbl>
    <w:p>
      <w:pPr>
        <w:spacing w:after="120"/>
      </w:pPr>
    </w:p>
    <w:p>
      <w:pPr>
        <w:pStyle w:val="Heading2"/>
        <w:spacing w:after="140" w:before="280"/>
      </w:pPr>
      <w:r>
        <w:rPr>
          <w:b/>
          <w:bCs/>
          <w:color w:val="4472C4"/>
          <w:sz w:val="24"/>
          <w:szCs w:val="24"/>
        </w:rPr>
        <w:t xml:space="preserve">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cantSplit/>
          <w:tblHeader/>
        </w:trPr>
        <w:tc>
          <w:tcPr>
            <w:tcW w:type="dxa" w:w="2600"/>
            <w:shd w:fill="1A2744" w:val="clear"/>
            <w:tcMar>
              <w:top w:type="dxa" w:w="100"/>
              <w:left w:type="dxa" w:w="120"/>
              <w:bottom w:type="dxa" w:w="100"/>
              <w:right w:type="dxa" w:w="120"/>
            </w:tcMar>
            <w:vAlign w:val="center"/>
          </w:tcPr>
          <w:p>
            <w:r>
              <w:rPr>
                <w:b/>
                <w:bCs/>
                <w:color w:val="FFFFFF"/>
                <w:sz w:val="19"/>
                <w:szCs w:val="19"/>
              </w:rPr>
              <w:t xml:space="preserve">KPI</w:t>
            </w:r>
          </w:p>
        </w:tc>
        <w:tc>
          <w:tcPr>
            <w:tcW w:type="dxa" w:w="4200"/>
            <w:shd w:fill="1A2744" w:val="clear"/>
            <w:tcMar>
              <w:top w:type="dxa" w:w="100"/>
              <w:left w:type="dxa" w:w="120"/>
              <w:bottom w:type="dxa" w:w="100"/>
              <w:right w:type="dxa" w:w="120"/>
            </w:tcMar>
            <w:vAlign w:val="center"/>
          </w:tcPr>
          <w:p>
            <w:r>
              <w:rPr>
                <w:b/>
                <w:bCs/>
                <w:color w:val="FFFFFF"/>
                <w:sz w:val="19"/>
                <w:szCs w:val="19"/>
              </w:rPr>
              <w:t xml:space="preserve">Definition</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Target</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Root-Cause Identification Rate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Percentage of problems with a confirmed root cause.</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85%</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Average Time to Known Error</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Average time from problem logging to root-cause confirmation.</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Trending down</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Recurrence Reduction</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Reduction in repeat incidents linked to a closed problem.</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30% reduction post-fix</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Problem Backlog Age</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Average age of open problem records.</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60 days</w:t>
            </w:r>
          </w:p>
        </w:tc>
      </w:tr>
    </w:tbl>
    <w:p>
      <w:r>
        <w:br w:type="page"/>
      </w:r>
    </w:p>
    <w:p>
      <w:pPr>
        <w:pStyle w:val="Heading1"/>
        <w:pBdr>
          <w:bottom w:val="single" w:color="1A2744" w:sz="6" w:space="4"/>
        </w:pBdr>
        <w:spacing w:after="200" w:before="400"/>
      </w:pPr>
      <w:r>
        <w:rPr>
          <w:b/>
          <w:bCs/>
          <w:color w:val="1A2744"/>
          <w:sz w:val="30"/>
          <w:szCs w:val="30"/>
        </w:rPr>
        <w:t xml:space="preserve">7.3 Change Management</w:t>
      </w:r>
    </w:p>
    <w:p>
      <w:pPr>
        <w:spacing w:after="160" w:line="276"/>
      </w:pPr>
      <w:r>
        <w:rPr>
          <w:color w:val="222222"/>
          <w:sz w:val="21"/>
          <w:szCs w:val="21"/>
        </w:rPr>
        <w:t xml:space="preserve">Change Management provides a controlled process for proposing, assessing, approving, implementing, and reviewing any addition, modification, or removal of an IT service or system component, in order to minimize risk and disruption to the business.</w:t>
      </w:r>
    </w:p>
    <w:p>
      <w:pPr>
        <w:pStyle w:val="Heading2"/>
        <w:spacing w:after="140" w:before="280"/>
      </w:pPr>
      <w:r>
        <w:rPr>
          <w:b/>
          <w:bCs/>
          <w:color w:val="4472C4"/>
          <w:sz w:val="24"/>
          <w:szCs w:val="24"/>
        </w:rPr>
        <w:t xml:space="preserve">Core Capabilities</w:t>
      </w:r>
    </w:p>
    <w:p>
      <w:pPr>
        <w:pStyle w:val="ListParagraph"/>
        <w:numPr>
          <w:ilvl w:val="0"/>
          <w:numId w:val="2"/>
        </w:numPr>
        <w:spacing w:after="80"/>
      </w:pPr>
      <w:r>
        <w:rPr>
          <w:color w:val="222222"/>
          <w:sz w:val="21"/>
          <w:szCs w:val="21"/>
        </w:rPr>
        <w:t xml:space="preserve">Support for three change categories: Standard (pre-approved, low risk), Normal (requires assessment and approval), and Emergency (expedited, for urgent fixes).</w:t>
      </w:r>
    </w:p>
    <w:p>
      <w:pPr>
        <w:pStyle w:val="ListParagraph"/>
        <w:numPr>
          <w:ilvl w:val="0"/>
          <w:numId w:val="2"/>
        </w:numPr>
        <w:spacing w:after="80"/>
      </w:pPr>
      <w:r>
        <w:rPr>
          <w:color w:val="222222"/>
          <w:sz w:val="21"/>
          <w:szCs w:val="21"/>
        </w:rPr>
        <w:t xml:space="preserve">Risk and impact assessment captured at submission, including affected services and components.</w:t>
      </w:r>
    </w:p>
    <w:p>
      <w:pPr>
        <w:pStyle w:val="ListParagraph"/>
        <w:numPr>
          <w:ilvl w:val="0"/>
          <w:numId w:val="2"/>
        </w:numPr>
        <w:spacing w:after="80"/>
      </w:pPr>
      <w:r>
        <w:rPr>
          <w:color w:val="222222"/>
          <w:sz w:val="21"/>
          <w:szCs w:val="21"/>
        </w:rPr>
        <w:t xml:space="preserve">Configurable, multi-stage approval workflow, including review by a Change Advisory Board for higher-risk changes.</w:t>
      </w:r>
    </w:p>
    <w:p>
      <w:pPr>
        <w:pStyle w:val="ListParagraph"/>
        <w:numPr>
          <w:ilvl w:val="0"/>
          <w:numId w:val="2"/>
        </w:numPr>
        <w:spacing w:after="80"/>
      </w:pPr>
      <w:r>
        <w:rPr>
          <w:color w:val="222222"/>
          <w:sz w:val="21"/>
          <w:szCs w:val="21"/>
        </w:rPr>
        <w:t xml:space="preserve">A shared change calendar to detect scheduling conflicts and enforce blackout windows.</w:t>
      </w:r>
    </w:p>
    <w:p>
      <w:pPr>
        <w:pStyle w:val="ListParagraph"/>
        <w:numPr>
          <w:ilvl w:val="0"/>
          <w:numId w:val="2"/>
        </w:numPr>
        <w:spacing w:after="80"/>
      </w:pPr>
      <w:r>
        <w:rPr>
          <w:color w:val="222222"/>
          <w:sz w:val="21"/>
          <w:szCs w:val="21"/>
        </w:rPr>
        <w:t xml:space="preserve">Linkage to the incident or problem that triggered the change, where applicable.</w:t>
      </w:r>
    </w:p>
    <w:p>
      <w:pPr>
        <w:pStyle w:val="ListParagraph"/>
        <w:numPr>
          <w:ilvl w:val="0"/>
          <w:numId w:val="2"/>
        </w:numPr>
        <w:spacing w:after="80"/>
      </w:pPr>
      <w:r>
        <w:rPr>
          <w:color w:val="222222"/>
          <w:sz w:val="21"/>
          <w:szCs w:val="21"/>
        </w:rPr>
        <w:t xml:space="preserve">Post-implementation review to confirm success and capture lessons learned.</w:t>
      </w:r>
    </w:p>
    <w:p>
      <w:pPr>
        <w:pStyle w:val="Heading2"/>
        <w:spacing w:after="140" w:before="280"/>
      </w:pPr>
      <w:r>
        <w:rPr>
          <w:b/>
          <w:bCs/>
          <w:color w:val="4472C4"/>
          <w:sz w:val="24"/>
          <w:szCs w:val="24"/>
        </w:rPr>
        <w:t xml:space="preserve">Process Flow</w:t>
      </w:r>
    </w:p>
    <w:p>
      <w:pPr>
        <w:pStyle w:val="ListParagraph"/>
        <w:numPr>
          <w:ilvl w:val="0"/>
          <w:numId w:val="3"/>
        </w:numPr>
        <w:spacing w:after="100"/>
      </w:pPr>
      <w:r>
        <w:rPr>
          <w:color w:val="222222"/>
          <w:sz w:val="21"/>
          <w:szCs w:val="21"/>
        </w:rPr>
        <w:t xml:space="preserve">Request — a change is proposed with a description, justification, risk level, and affected services.</w:t>
      </w:r>
    </w:p>
    <w:p>
      <w:pPr>
        <w:pStyle w:val="ListParagraph"/>
        <w:numPr>
          <w:ilvl w:val="0"/>
          <w:numId w:val="3"/>
        </w:numPr>
        <w:spacing w:after="100"/>
      </w:pPr>
      <w:r>
        <w:rPr>
          <w:color w:val="222222"/>
          <w:sz w:val="21"/>
          <w:szCs w:val="21"/>
        </w:rPr>
        <w:t xml:space="preserve">Assessment — risk, impact, and implementation plan are reviewed by the change owner or technical team.</w:t>
      </w:r>
    </w:p>
    <w:p>
      <w:pPr>
        <w:pStyle w:val="ListParagraph"/>
        <w:numPr>
          <w:ilvl w:val="0"/>
          <w:numId w:val="3"/>
        </w:numPr>
        <w:spacing w:after="100"/>
      </w:pPr>
      <w:r>
        <w:rPr>
          <w:color w:val="222222"/>
          <w:sz w:val="21"/>
          <w:szCs w:val="21"/>
        </w:rPr>
        <w:t xml:space="preserve">Approval — the change is routed for approval based on its category (pre-approved, standard review, or emergency authorization).</w:t>
      </w:r>
    </w:p>
    <w:p>
      <w:pPr>
        <w:pStyle w:val="ListParagraph"/>
        <w:numPr>
          <w:ilvl w:val="0"/>
          <w:numId w:val="3"/>
        </w:numPr>
        <w:spacing w:after="100"/>
      </w:pPr>
      <w:r>
        <w:rPr>
          <w:color w:val="222222"/>
          <w:sz w:val="21"/>
          <w:szCs w:val="21"/>
        </w:rPr>
        <w:t xml:space="preserve">Scheduling — the implementation window is confirmed against the shared change calendar, avoiding conflicts and blackout periods.</w:t>
      </w:r>
    </w:p>
    <w:p>
      <w:pPr>
        <w:pStyle w:val="ListParagraph"/>
        <w:numPr>
          <w:ilvl w:val="0"/>
          <w:numId w:val="3"/>
        </w:numPr>
        <w:spacing w:after="100"/>
      </w:pPr>
      <w:r>
        <w:rPr>
          <w:color w:val="222222"/>
          <w:sz w:val="21"/>
          <w:szCs w:val="21"/>
        </w:rPr>
        <w:t xml:space="preserve">Implementation — the change is carried out according to the documented plan, with a rollback plan available.</w:t>
      </w:r>
    </w:p>
    <w:p>
      <w:pPr>
        <w:pStyle w:val="ListParagraph"/>
        <w:numPr>
          <w:ilvl w:val="0"/>
          <w:numId w:val="3"/>
        </w:numPr>
        <w:spacing w:after="100"/>
      </w:pPr>
      <w:r>
        <w:rPr>
          <w:color w:val="222222"/>
          <w:sz w:val="21"/>
          <w:szCs w:val="21"/>
        </w:rPr>
        <w:t xml:space="preserve">Verification — the outcome is validated against the expected result.</w:t>
      </w:r>
    </w:p>
    <w:p>
      <w:pPr>
        <w:pStyle w:val="ListParagraph"/>
        <w:numPr>
          <w:ilvl w:val="0"/>
          <w:numId w:val="3"/>
        </w:numPr>
        <w:spacing w:after="100"/>
      </w:pPr>
      <w:r>
        <w:rPr>
          <w:color w:val="222222"/>
          <w:sz w:val="21"/>
          <w:szCs w:val="21"/>
        </w:rPr>
        <w:t xml:space="preserve">Post-Implementation Review — success is confirmed, and the change record is closed with lessons learned documented.</w:t>
      </w:r>
    </w:p>
    <w:p>
      <w:pPr>
        <w:spacing w:after="120"/>
      </w:pPr>
    </w:p>
    <w:p>
      <w:pPr>
        <w:pStyle w:val="Heading3"/>
        <w:spacing w:after="100" w:before="200"/>
      </w:pPr>
      <w:r>
        <w:rPr>
          <w:b/>
          <w:bCs/>
          <w:color w:val="1A2744"/>
          <w:sz w:val="21"/>
          <w:szCs w:val="21"/>
        </w:rPr>
        <w:t xml:space="preserve">Status Lifecycle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Status</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Description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Draft</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Change request created; not yet submitted for assessment.</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Assessment</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Risk, impact, and plan under review.</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Authorization</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Pending approval (standard review or advisory board, depending on category).</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Scheduled</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Approved and placed on the change calendar for implementation.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Implementation</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Change actively being carried out.</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Review</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Post-implementation review in progress.</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Closed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Change closed as successful, unsuccessful, or cancelled.</w:t>
            </w:r>
          </w:p>
        </w:tc>
      </w:tr>
    </w:tbl>
    <w:p>
      <w:pPr>
        <w:spacing w:after="120"/>
      </w:pPr>
    </w:p>
    <w:p>
      <w:pPr>
        <w:pStyle w:val="Heading3"/>
        <w:spacing w:after="100" w:before="200"/>
      </w:pPr>
      <w:r>
        <w:rPr>
          <w:b/>
          <w:bCs/>
          <w:color w:val="1A2744"/>
          <w:sz w:val="21"/>
          <w:szCs w:val="21"/>
        </w:rPr>
        <w:t xml:space="preserve">Change 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800"/>
      </w:tblGrid>
      <w:tr>
        <w:trPr>
          <w:cantSplit/>
          <w:tblHeader/>
        </w:trPr>
        <w:tc>
          <w:tcPr>
            <w:tcW w:type="dxa" w:w="1800"/>
            <w:shd w:fill="1A2744" w:val="clear"/>
            <w:tcMar>
              <w:top w:type="dxa" w:w="100"/>
              <w:left w:type="dxa" w:w="120"/>
              <w:bottom w:type="dxa" w:w="100"/>
              <w:right w:type="dxa" w:w="120"/>
            </w:tcMar>
            <w:vAlign w:val="center"/>
          </w:tcPr>
          <w:p>
            <w:r>
              <w:rPr>
                <w:b/>
                <w:bCs/>
                <w:color w:val="FFFFFF"/>
                <w:sz w:val="19"/>
                <w:szCs w:val="19"/>
              </w:rPr>
              <w:t xml:space="preserve">Category</w:t>
            </w:r>
          </w:p>
        </w:tc>
        <w:tc>
          <w:tcPr>
            <w:tcW w:type="dxa" w:w="3200"/>
            <w:shd w:fill="1A2744" w:val="clear"/>
            <w:tcMar>
              <w:top w:type="dxa" w:w="100"/>
              <w:left w:type="dxa" w:w="120"/>
              <w:bottom w:type="dxa" w:w="100"/>
              <w:right w:type="dxa" w:w="120"/>
            </w:tcMar>
            <w:vAlign w:val="center"/>
          </w:tcPr>
          <w:p>
            <w:r>
              <w:rPr>
                <w:b/>
                <w:bCs/>
                <w:color w:val="FFFFFF"/>
                <w:sz w:val="19"/>
                <w:szCs w:val="19"/>
              </w:rPr>
              <w:t xml:space="preserve">Description</w:t>
            </w:r>
          </w:p>
        </w:tc>
        <w:tc>
          <w:tcPr>
            <w:tcW w:type="dxa" w:w="3800"/>
            <w:shd w:fill="1A2744" w:val="clear"/>
            <w:tcMar>
              <w:top w:type="dxa" w:w="100"/>
              <w:left w:type="dxa" w:w="120"/>
              <w:bottom w:type="dxa" w:w="100"/>
              <w:right w:type="dxa" w:w="120"/>
            </w:tcMar>
            <w:vAlign w:val="center"/>
          </w:tcPr>
          <w:p>
            <w:r>
              <w:rPr>
                <w:b/>
                <w:bCs/>
                <w:color w:val="FFFFFF"/>
                <w:sz w:val="19"/>
                <w:szCs w:val="19"/>
              </w:rPr>
              <w:t xml:space="preserve">Approval Path</w:t>
            </w:r>
          </w:p>
        </w:tc>
      </w:tr>
      <w:tr>
        <w:trPr>
          <w:cantSplit/>
        </w:trPr>
        <w:tc>
          <w:tcPr>
            <w:tcW w:type="dxa" w:w="1800"/>
            <w:tcMar>
              <w:top w:type="dxa" w:w="90"/>
              <w:left w:type="dxa" w:w="120"/>
              <w:bottom w:type="dxa" w:w="90"/>
              <w:right w:type="dxa" w:w="120"/>
            </w:tcMar>
            <w:vAlign w:val="center"/>
          </w:tcPr>
          <w:p>
            <w:pPr>
              <w:spacing w:after="40"/>
            </w:pPr>
            <w:r>
              <w:rPr>
                <w:b w:val="false"/>
                <w:bCs w:val="false"/>
                <w:color w:val="222222"/>
                <w:sz w:val="19"/>
                <w:szCs w:val="19"/>
              </w:rPr>
              <w:t xml:space="preserve">Standard</w:t>
            </w:r>
          </w:p>
        </w:tc>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Pre-approved, low-risk, and repeatable change performed from an established template (e.g., routine password reset, minor configuration update).</w:t>
            </w:r>
          </w:p>
        </w:tc>
        <w:tc>
          <w:tcPr>
            <w:tcW w:type="dxa" w:w="3800"/>
            <w:tcMar>
              <w:top w:type="dxa" w:w="90"/>
              <w:left w:type="dxa" w:w="120"/>
              <w:bottom w:type="dxa" w:w="90"/>
              <w:right w:type="dxa" w:w="120"/>
            </w:tcMar>
            <w:vAlign w:val="center"/>
          </w:tcPr>
          <w:p>
            <w:pPr>
              <w:spacing w:after="40"/>
            </w:pPr>
            <w:r>
              <w:rPr>
                <w:b w:val="false"/>
                <w:bCs w:val="false"/>
                <w:color w:val="222222"/>
                <w:sz w:val="19"/>
                <w:szCs w:val="19"/>
              </w:rPr>
              <w:t xml:space="preserve">No case-by-case approval required; pre-authorized template.</w:t>
            </w:r>
          </w:p>
        </w:tc>
      </w:tr>
      <w:tr>
        <w:trPr>
          <w:cantSplit/>
        </w:trPr>
        <w:tc>
          <w:tcPr>
            <w:tcW w:type="dxa" w:w="1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Normal</w:t>
            </w:r>
          </w:p>
        </w:tc>
        <w:tc>
          <w:tcPr>
            <w:tcW w:type="dxa" w:w="3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Change of medium-to-high risk or complexity that has not been pre-approved.</w:t>
            </w:r>
          </w:p>
        </w:tc>
        <w:tc>
          <w:tcPr>
            <w:tcW w:type="dxa" w:w="3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Technical/peer review followed by Change Advisory Board authorization.</w:t>
            </w:r>
          </w:p>
        </w:tc>
      </w:tr>
      <w:tr>
        <w:trPr>
          <w:cantSplit/>
        </w:trPr>
        <w:tc>
          <w:tcPr>
            <w:tcW w:type="dxa" w:w="1800"/>
            <w:tcMar>
              <w:top w:type="dxa" w:w="90"/>
              <w:left w:type="dxa" w:w="120"/>
              <w:bottom w:type="dxa" w:w="90"/>
              <w:right w:type="dxa" w:w="120"/>
            </w:tcMar>
            <w:vAlign w:val="center"/>
          </w:tcPr>
          <w:p>
            <w:pPr>
              <w:spacing w:after="40"/>
            </w:pPr>
            <w:r>
              <w:rPr>
                <w:b w:val="false"/>
                <w:bCs w:val="false"/>
                <w:color w:val="222222"/>
                <w:sz w:val="19"/>
                <w:szCs w:val="19"/>
              </w:rPr>
              <w:t xml:space="preserve">Emergency</w:t>
            </w:r>
          </w:p>
        </w:tc>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Urgent change needed to resolve a major incident or prevent imminent service impact.</w:t>
            </w:r>
          </w:p>
        </w:tc>
        <w:tc>
          <w:tcPr>
            <w:tcW w:type="dxa" w:w="3800"/>
            <w:tcMar>
              <w:top w:type="dxa" w:w="90"/>
              <w:left w:type="dxa" w:w="120"/>
              <w:bottom w:type="dxa" w:w="90"/>
              <w:right w:type="dxa" w:w="120"/>
            </w:tcMar>
            <w:vAlign w:val="center"/>
          </w:tcPr>
          <w:p>
            <w:pPr>
              <w:spacing w:after="40"/>
            </w:pPr>
            <w:r>
              <w:rPr>
                <w:b w:val="false"/>
                <w:bCs w:val="false"/>
                <w:color w:val="222222"/>
                <w:sz w:val="19"/>
                <w:szCs w:val="19"/>
              </w:rPr>
              <w:t xml:space="preserve">Expedited authorization by an emergency approval group, with mandatory post-implementation review.</w:t>
            </w:r>
          </w:p>
        </w:tc>
      </w:tr>
    </w:tbl>
    <w:p>
      <w:pPr>
        <w:spacing w:after="120"/>
      </w:pPr>
    </w:p>
    <w:p>
      <w:pPr>
        <w:pStyle w:val="Heading2"/>
        <w:spacing w:after="140" w:before="280"/>
      </w:pPr>
      <w:r>
        <w:rPr>
          <w:b/>
          <w:bCs/>
          <w:color w:val="4472C4"/>
          <w:sz w:val="24"/>
          <w:szCs w:val="24"/>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4350"/>
        <w:gridCol w:w="1200"/>
        <w:gridCol w:w="2600"/>
      </w:tblGrid>
      <w:tr>
        <w:trPr>
          <w:cantSplit/>
          <w:tblHeader/>
        </w:trPr>
        <w:tc>
          <w:tcPr>
            <w:tcW w:type="dxa" w:w="115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5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CHG-FR-001</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Standard, Normal, and Emergency change categories, each with a distinct workflow.</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The correct approval path is applied automatically based on the selected category.</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CHG-FR-002</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require a documented risk and impact assessment for Normal and Emergency changes before submission for approval.</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Submission is blocked without a completed risk/impact assessment.</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CHG-FR-003</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provide a shared calendar view showing all scheduled changes and defined blackout windows.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Scheduling conflicts and blackout-window violations are flagged before approval.</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CHG-FR-004</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multi-level approval routing, including designated approver groups for higher-risk changes.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change cannot proceed to implementation until all required approvals are recorded.</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CHG-FR-005</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change to be linked to the incident or problem that triggered it.</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Linked records display cross-references in both directions.</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CHG-FR-006</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capture an implementation plan and a rollback/backout plan before approval is granted for Normal and Emergency changes.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Both plans are mandatory fields prior to authorization.</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CHG-FR-007</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require a post-implementation review outcome (successful, unsuccessful, or cancelled) before closure.</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Closure is blocked until a review outcome is recorded.</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CHG-FR-008</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maintain a complete audit trail of approvals, schedule changes, and implementation notes.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Every approval decision and schedule change is timestamped and attributed.</w:t>
            </w:r>
          </w:p>
        </w:tc>
      </w:tr>
    </w:tbl>
    <w:p>
      <w:pPr>
        <w:spacing w:after="120"/>
      </w:pPr>
    </w:p>
    <w:p>
      <w:pPr>
        <w:pStyle w:val="Heading2"/>
        <w:spacing w:after="140" w:before="280"/>
      </w:pPr>
      <w:r>
        <w:rPr>
          <w:b/>
          <w:bCs/>
          <w:color w:val="4472C4"/>
          <w:sz w:val="24"/>
          <w:szCs w:val="24"/>
        </w:rPr>
        <w:t xml:space="preserve">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cantSplit/>
          <w:tblHeader/>
        </w:trPr>
        <w:tc>
          <w:tcPr>
            <w:tcW w:type="dxa" w:w="2600"/>
            <w:shd w:fill="1A2744" w:val="clear"/>
            <w:tcMar>
              <w:top w:type="dxa" w:w="100"/>
              <w:left w:type="dxa" w:w="120"/>
              <w:bottom w:type="dxa" w:w="100"/>
              <w:right w:type="dxa" w:w="120"/>
            </w:tcMar>
            <w:vAlign w:val="center"/>
          </w:tcPr>
          <w:p>
            <w:r>
              <w:rPr>
                <w:b/>
                <w:bCs/>
                <w:color w:val="FFFFFF"/>
                <w:sz w:val="19"/>
                <w:szCs w:val="19"/>
              </w:rPr>
              <w:t xml:space="preserve">KPI</w:t>
            </w:r>
          </w:p>
        </w:tc>
        <w:tc>
          <w:tcPr>
            <w:tcW w:type="dxa" w:w="4200"/>
            <w:shd w:fill="1A2744" w:val="clear"/>
            <w:tcMar>
              <w:top w:type="dxa" w:w="100"/>
              <w:left w:type="dxa" w:w="120"/>
              <w:bottom w:type="dxa" w:w="100"/>
              <w:right w:type="dxa" w:w="120"/>
            </w:tcMar>
            <w:vAlign w:val="center"/>
          </w:tcPr>
          <w:p>
            <w:r>
              <w:rPr>
                <w:b/>
                <w:bCs/>
                <w:color w:val="FFFFFF"/>
                <w:sz w:val="19"/>
                <w:szCs w:val="19"/>
              </w:rPr>
              <w:t xml:space="preserve">Definition</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Target</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Change Success Rate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Percentage of changes implemented without causing an incident.</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95%</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Emergency Change Ratio</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Proportion of all changes classified as Emergency.</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10%</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Approval Cycle Time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Average time from submission to authorization.</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Per category target</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Change-Related Incidents</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Number of incidents directly attributed to a recent change.</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Trending down</w:t>
            </w:r>
          </w:p>
        </w:tc>
      </w:tr>
    </w:tbl>
    <w:p>
      <w:r>
        <w:br w:type="page"/>
      </w:r>
    </w:p>
    <w:p>
      <w:pPr>
        <w:pStyle w:val="Heading1"/>
        <w:pBdr>
          <w:bottom w:val="single" w:color="1A2744" w:sz="6" w:space="4"/>
        </w:pBdr>
        <w:spacing w:after="200" w:before="400"/>
      </w:pPr>
      <w:r>
        <w:rPr>
          <w:b/>
          <w:bCs/>
          <w:color w:val="1A2744"/>
          <w:sz w:val="30"/>
          <w:szCs w:val="30"/>
        </w:rPr>
        <w:t xml:space="preserve">7.4 Knowledge Management</w:t>
      </w:r>
    </w:p>
    <w:p>
      <w:pPr>
        <w:spacing w:after="160" w:line="276"/>
      </w:pPr>
      <w:r>
        <w:rPr>
          <w:color w:val="222222"/>
          <w:sz w:val="21"/>
          <w:szCs w:val="21"/>
        </w:rPr>
        <w:t xml:space="preserve">Knowledge Management provides a centralized, searchable repository of articles, guides, and known solutions, enabling both support teams and end users to resolve issues faster and reducing the volume of tickets logged for well-understood issues.</w:t>
      </w:r>
    </w:p>
    <w:p>
      <w:pPr>
        <w:pStyle w:val="Heading2"/>
        <w:spacing w:after="140" w:before="280"/>
      </w:pPr>
      <w:r>
        <w:rPr>
          <w:b/>
          <w:bCs/>
          <w:color w:val="4472C4"/>
          <w:sz w:val="24"/>
          <w:szCs w:val="24"/>
        </w:rPr>
        <w:t xml:space="preserve">Core Capabilities</w:t>
      </w:r>
    </w:p>
    <w:p>
      <w:pPr>
        <w:pStyle w:val="ListParagraph"/>
        <w:numPr>
          <w:ilvl w:val="0"/>
          <w:numId w:val="2"/>
        </w:numPr>
        <w:spacing w:after="80"/>
      </w:pPr>
      <w:r>
        <w:rPr>
          <w:color w:val="222222"/>
          <w:sz w:val="21"/>
          <w:szCs w:val="21"/>
        </w:rPr>
        <w:t xml:space="preserve">Structured article authoring with categories, tags, and version control.</w:t>
      </w:r>
    </w:p>
    <w:p>
      <w:pPr>
        <w:pStyle w:val="ListParagraph"/>
        <w:numPr>
          <w:ilvl w:val="0"/>
          <w:numId w:val="2"/>
        </w:numPr>
        <w:spacing w:after="80"/>
      </w:pPr>
      <w:r>
        <w:rPr>
          <w:color w:val="222222"/>
          <w:sz w:val="21"/>
          <w:szCs w:val="21"/>
        </w:rPr>
        <w:t xml:space="preserve">A review and publishing workflow so articles are validated before becoming visible to users.</w:t>
      </w:r>
    </w:p>
    <w:p>
      <w:pPr>
        <w:pStyle w:val="ListParagraph"/>
        <w:numPr>
          <w:ilvl w:val="0"/>
          <w:numId w:val="2"/>
        </w:numPr>
        <w:spacing w:after="80"/>
      </w:pPr>
      <w:r>
        <w:rPr>
          <w:color w:val="222222"/>
          <w:sz w:val="21"/>
          <w:szCs w:val="21"/>
        </w:rPr>
        <w:t xml:space="preserve">Full-text search with relevance ranking, available from both the support workspace and the self-service portal.</w:t>
      </w:r>
    </w:p>
    <w:p>
      <w:pPr>
        <w:pStyle w:val="ListParagraph"/>
        <w:numPr>
          <w:ilvl w:val="0"/>
          <w:numId w:val="2"/>
        </w:numPr>
        <w:spacing w:after="80"/>
      </w:pPr>
      <w:r>
        <w:rPr>
          <w:color w:val="222222"/>
          <w:sz w:val="21"/>
          <w:szCs w:val="21"/>
        </w:rPr>
        <w:t xml:space="preserve">Article linkage to incidents and problems, allowing solutions to be captured directly from resolved cases.</w:t>
      </w:r>
    </w:p>
    <w:p>
      <w:pPr>
        <w:pStyle w:val="ListParagraph"/>
        <w:numPr>
          <w:ilvl w:val="0"/>
          <w:numId w:val="2"/>
        </w:numPr>
        <w:spacing w:after="80"/>
      </w:pPr>
      <w:r>
        <w:rPr>
          <w:color w:val="222222"/>
          <w:sz w:val="21"/>
          <w:szCs w:val="21"/>
        </w:rPr>
        <w:t xml:space="preserve">User feedback and rating on articles to identify high-value and outdated content.</w:t>
      </w:r>
    </w:p>
    <w:p>
      <w:pPr>
        <w:pStyle w:val="ListParagraph"/>
        <w:numPr>
          <w:ilvl w:val="0"/>
          <w:numId w:val="2"/>
        </w:numPr>
        <w:spacing w:after="80"/>
      </w:pPr>
      <w:r>
        <w:rPr>
          <w:color w:val="222222"/>
          <w:sz w:val="21"/>
          <w:szCs w:val="21"/>
        </w:rPr>
        <w:t xml:space="preserve">Scheduled review reminders to keep the knowledge base accurate and current.</w:t>
      </w:r>
    </w:p>
    <w:p>
      <w:pPr>
        <w:pStyle w:val="Heading2"/>
        <w:spacing w:after="140" w:before="280"/>
      </w:pPr>
      <w:r>
        <w:rPr>
          <w:b/>
          <w:bCs/>
          <w:color w:val="4472C4"/>
          <w:sz w:val="24"/>
          <w:szCs w:val="24"/>
        </w:rPr>
        <w:t xml:space="preserve">Process Flow</w:t>
      </w:r>
    </w:p>
    <w:p>
      <w:pPr>
        <w:pStyle w:val="ListParagraph"/>
        <w:numPr>
          <w:ilvl w:val="0"/>
          <w:numId w:val="3"/>
        </w:numPr>
        <w:spacing w:after="100"/>
      </w:pPr>
      <w:r>
        <w:rPr>
          <w:color w:val="222222"/>
          <w:sz w:val="21"/>
          <w:szCs w:val="21"/>
        </w:rPr>
        <w:t xml:space="preserve">Identification — a knowledge gap is identified from a resolved incident, problem, or a direct submission.</w:t>
      </w:r>
    </w:p>
    <w:p>
      <w:pPr>
        <w:pStyle w:val="ListParagraph"/>
        <w:numPr>
          <w:ilvl w:val="0"/>
          <w:numId w:val="3"/>
        </w:numPr>
        <w:spacing w:after="100"/>
      </w:pPr>
      <w:r>
        <w:rPr>
          <w:color w:val="222222"/>
          <w:sz w:val="21"/>
          <w:szCs w:val="21"/>
        </w:rPr>
        <w:t xml:space="preserve">Drafting — an article is authored with a clear title, category, and step-by-step content.</w:t>
      </w:r>
    </w:p>
    <w:p>
      <w:pPr>
        <w:pStyle w:val="ListParagraph"/>
        <w:numPr>
          <w:ilvl w:val="0"/>
          <w:numId w:val="3"/>
        </w:numPr>
        <w:spacing w:after="100"/>
      </w:pPr>
      <w:r>
        <w:rPr>
          <w:color w:val="222222"/>
          <w:sz w:val="21"/>
          <w:szCs w:val="21"/>
        </w:rPr>
        <w:t xml:space="preserve">Review — the draft is reviewed by a designated reviewer or subject-matter expert for accuracy.</w:t>
      </w:r>
    </w:p>
    <w:p>
      <w:pPr>
        <w:pStyle w:val="ListParagraph"/>
        <w:numPr>
          <w:ilvl w:val="0"/>
          <w:numId w:val="3"/>
        </w:numPr>
        <w:spacing w:after="100"/>
      </w:pPr>
      <w:r>
        <w:rPr>
          <w:color w:val="222222"/>
          <w:sz w:val="21"/>
          <w:szCs w:val="21"/>
        </w:rPr>
        <w:t xml:space="preserve">Publishing — the approved article is published and becomes searchable to the intended audience.</w:t>
      </w:r>
    </w:p>
    <w:p>
      <w:pPr>
        <w:pStyle w:val="ListParagraph"/>
        <w:numPr>
          <w:ilvl w:val="0"/>
          <w:numId w:val="3"/>
        </w:numPr>
        <w:spacing w:after="100"/>
      </w:pPr>
      <w:r>
        <w:rPr>
          <w:color w:val="222222"/>
          <w:sz w:val="21"/>
          <w:szCs w:val="21"/>
        </w:rPr>
        <w:t xml:space="preserve">Usage &amp; Feedback — users view, rate, and comment on the article; usage is tracked.</w:t>
      </w:r>
    </w:p>
    <w:p>
      <w:pPr>
        <w:pStyle w:val="ListParagraph"/>
        <w:numPr>
          <w:ilvl w:val="0"/>
          <w:numId w:val="3"/>
        </w:numPr>
        <w:spacing w:after="100"/>
      </w:pPr>
      <w:r>
        <w:rPr>
          <w:color w:val="222222"/>
          <w:sz w:val="21"/>
          <w:szCs w:val="21"/>
        </w:rPr>
        <w:t xml:space="preserve">Maintenance — articles are periodically reviewed, updated, or retired based on accuracy and usage data.</w:t>
      </w:r>
    </w:p>
    <w:p>
      <w:pPr>
        <w:spacing w:after="120"/>
      </w:pPr>
    </w:p>
    <w:p>
      <w:pPr>
        <w:pStyle w:val="Heading3"/>
        <w:spacing w:after="100" w:before="200"/>
      </w:pPr>
      <w:r>
        <w:rPr>
          <w:b/>
          <w:bCs/>
          <w:color w:val="1A2744"/>
          <w:sz w:val="21"/>
          <w:szCs w:val="21"/>
        </w:rPr>
        <w:t xml:space="preserve">Status Lifecycle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Status</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Description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Draft</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Article being authored; not yet submitted for review.</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 Review</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Submitted and pending validation by a reviewer.</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Published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Approved and visible to the intended audience.</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Scheduled for Review</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Published article flagged for periodic accuracy review.</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Retired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Outdated or superseded article removed from active search results.</w:t>
            </w:r>
          </w:p>
        </w:tc>
      </w:tr>
    </w:tbl>
    <w:p>
      <w:pPr>
        <w:spacing w:after="120"/>
      </w:pPr>
    </w:p>
    <w:p>
      <w:pPr>
        <w:pStyle w:val="Heading2"/>
        <w:spacing w:after="140" w:before="280"/>
      </w:pPr>
      <w:r>
        <w:rPr>
          <w:b/>
          <w:bCs/>
          <w:color w:val="4472C4"/>
          <w:sz w:val="24"/>
          <w:szCs w:val="24"/>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4350"/>
        <w:gridCol w:w="1200"/>
        <w:gridCol w:w="2600"/>
      </w:tblGrid>
      <w:tr>
        <w:trPr>
          <w:cantSplit/>
          <w:tblHeader/>
        </w:trPr>
        <w:tc>
          <w:tcPr>
            <w:tcW w:type="dxa" w:w="115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5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KM-FR-001</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articles to be authored with a title, category, tags, and formatted content.</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Authors can save a draft article with all specified fields.</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KM-FR-002</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require review and approval before a draft article becomes publicly visible.</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Draft articles are not visible in search results until approved.</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KM-FR-003</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provide full-text, keyword-ranked search across published articles.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Search returns relevant results ranked by match quality within acceptable response time.</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KM-FR-004</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an article to be created or linked directly from a resolved incident or problem record.</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new article pre-populates with context from the source record.</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KM-FR-005</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users to rate articles and submit feedback on usefulness.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Ratings and feedback are visible to the knowledge owner for review.</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KM-FR-006</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scheduled review reminders for published articles based on a configurable review cycle.</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Reviewers are notified automatically when an article's review date is reached.</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KM-FR-007</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restrict visibility of internal-only articles from the external or self-service audience.</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Audience restrictions are enforced consistently across all search and browse views.</w:t>
            </w:r>
          </w:p>
        </w:tc>
      </w:tr>
    </w:tbl>
    <w:p>
      <w:pPr>
        <w:spacing w:after="120"/>
      </w:pPr>
    </w:p>
    <w:p>
      <w:pPr>
        <w:pStyle w:val="Heading2"/>
        <w:spacing w:after="140" w:before="280"/>
      </w:pPr>
      <w:r>
        <w:rPr>
          <w:b/>
          <w:bCs/>
          <w:color w:val="4472C4"/>
          <w:sz w:val="24"/>
          <w:szCs w:val="24"/>
        </w:rPr>
        <w:t xml:space="preserve">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cantSplit/>
          <w:tblHeader/>
        </w:trPr>
        <w:tc>
          <w:tcPr>
            <w:tcW w:type="dxa" w:w="2600"/>
            <w:shd w:fill="1A2744" w:val="clear"/>
            <w:tcMar>
              <w:top w:type="dxa" w:w="100"/>
              <w:left w:type="dxa" w:w="120"/>
              <w:bottom w:type="dxa" w:w="100"/>
              <w:right w:type="dxa" w:w="120"/>
            </w:tcMar>
            <w:vAlign w:val="center"/>
          </w:tcPr>
          <w:p>
            <w:r>
              <w:rPr>
                <w:b/>
                <w:bCs/>
                <w:color w:val="FFFFFF"/>
                <w:sz w:val="19"/>
                <w:szCs w:val="19"/>
              </w:rPr>
              <w:t xml:space="preserve">KPI</w:t>
            </w:r>
          </w:p>
        </w:tc>
        <w:tc>
          <w:tcPr>
            <w:tcW w:type="dxa" w:w="4200"/>
            <w:shd w:fill="1A2744" w:val="clear"/>
            <w:tcMar>
              <w:top w:type="dxa" w:w="100"/>
              <w:left w:type="dxa" w:w="120"/>
              <w:bottom w:type="dxa" w:w="100"/>
              <w:right w:type="dxa" w:w="120"/>
            </w:tcMar>
            <w:vAlign w:val="center"/>
          </w:tcPr>
          <w:p>
            <w:r>
              <w:rPr>
                <w:b/>
                <w:bCs/>
                <w:color w:val="FFFFFF"/>
                <w:sz w:val="19"/>
                <w:szCs w:val="19"/>
              </w:rPr>
              <w:t xml:space="preserve">Definition</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Target</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Article Reuse Rate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Percentage of incidents resolved with reference to a knowledge article.</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40%</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Self-Service Deflection</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Percentage of portal searches resolved without logging a ticket.</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25%</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Average Article Rating</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Mean user-submitted usefulness rating.</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4.0 / 5</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Content Freshness</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Percentage of published articles reviewed within the defined cycle.</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90%</w:t>
            </w:r>
          </w:p>
        </w:tc>
      </w:tr>
    </w:tbl>
    <w:p>
      <w:r>
        <w:br w:type="page"/>
      </w:r>
    </w:p>
    <w:p>
      <w:pPr>
        <w:pStyle w:val="Heading1"/>
        <w:pBdr>
          <w:bottom w:val="single" w:color="1A2744" w:sz="6" w:space="4"/>
        </w:pBdr>
        <w:spacing w:after="200" w:before="400"/>
      </w:pPr>
      <w:r>
        <w:rPr>
          <w:b/>
          <w:bCs/>
          <w:color w:val="1A2744"/>
          <w:sz w:val="30"/>
          <w:szCs w:val="30"/>
        </w:rPr>
        <w:t xml:space="preserve">7.5 Request Management</w:t>
      </w:r>
    </w:p>
    <w:p>
      <w:pPr>
        <w:spacing w:after="160" w:line="276"/>
      </w:pPr>
      <w:r>
        <w:rPr>
          <w:color w:val="222222"/>
          <w:sz w:val="21"/>
          <w:szCs w:val="21"/>
        </w:rPr>
        <w:t xml:space="preserve">Request Management handles the end-to-end fulfillment of user requests for standard services, information, or access — distinct from incidents, since a request is a planned ask rather than an unplanned disruption. It provides tracking, approval, and fulfillment visibility for every request raised.</w:t>
      </w:r>
    </w:p>
    <w:p>
      <w:pPr>
        <w:pStyle w:val="Heading2"/>
        <w:spacing w:after="140" w:before="280"/>
      </w:pPr>
      <w:r>
        <w:rPr>
          <w:b/>
          <w:bCs/>
          <w:color w:val="4472C4"/>
          <w:sz w:val="24"/>
          <w:szCs w:val="24"/>
        </w:rPr>
        <w:t xml:space="preserve">Core Capabilities</w:t>
      </w:r>
    </w:p>
    <w:p>
      <w:pPr>
        <w:pStyle w:val="ListParagraph"/>
        <w:numPr>
          <w:ilvl w:val="0"/>
          <w:numId w:val="2"/>
        </w:numPr>
        <w:spacing w:after="80"/>
      </w:pPr>
      <w:r>
        <w:rPr>
          <w:color w:val="222222"/>
          <w:sz w:val="21"/>
          <w:szCs w:val="21"/>
        </w:rPr>
        <w:t xml:space="preserve">Structured request intake with dynamic forms tailored to the type of request.</w:t>
      </w:r>
    </w:p>
    <w:p>
      <w:pPr>
        <w:pStyle w:val="ListParagraph"/>
        <w:numPr>
          <w:ilvl w:val="0"/>
          <w:numId w:val="2"/>
        </w:numPr>
        <w:spacing w:after="80"/>
      </w:pPr>
      <w:r>
        <w:rPr>
          <w:color w:val="222222"/>
          <w:sz w:val="21"/>
          <w:szCs w:val="21"/>
        </w:rPr>
        <w:t xml:space="preserve">Multi-step approval routing where required (e.g., manager or budget approval).</w:t>
      </w:r>
    </w:p>
    <w:p>
      <w:pPr>
        <w:pStyle w:val="ListParagraph"/>
        <w:numPr>
          <w:ilvl w:val="0"/>
          <w:numId w:val="2"/>
        </w:numPr>
        <w:spacing w:after="80"/>
      </w:pPr>
      <w:r>
        <w:rPr>
          <w:color w:val="222222"/>
          <w:sz w:val="21"/>
          <w:szCs w:val="21"/>
        </w:rPr>
        <w:t xml:space="preserve">Automatic task generation and routing to the fulfilling team or system.</w:t>
      </w:r>
    </w:p>
    <w:p>
      <w:pPr>
        <w:pStyle w:val="ListParagraph"/>
        <w:numPr>
          <w:ilvl w:val="0"/>
          <w:numId w:val="2"/>
        </w:numPr>
        <w:spacing w:after="80"/>
      </w:pPr>
      <w:r>
        <w:rPr>
          <w:color w:val="222222"/>
          <w:sz w:val="21"/>
          <w:szCs w:val="21"/>
        </w:rPr>
        <w:t xml:space="preserve">Real-time status tracking visible to the requester throughout fulfillment.</w:t>
      </w:r>
    </w:p>
    <w:p>
      <w:pPr>
        <w:pStyle w:val="ListParagraph"/>
        <w:numPr>
          <w:ilvl w:val="0"/>
          <w:numId w:val="2"/>
        </w:numPr>
        <w:spacing w:after="80"/>
      </w:pPr>
      <w:r>
        <w:rPr>
          <w:color w:val="222222"/>
          <w:sz w:val="21"/>
          <w:szCs w:val="21"/>
        </w:rPr>
        <w:t xml:space="preserve">Support for multi-item requests, where a single submission generates several linked fulfillment tasks.</w:t>
      </w:r>
    </w:p>
    <w:p>
      <w:pPr>
        <w:pStyle w:val="ListParagraph"/>
        <w:numPr>
          <w:ilvl w:val="0"/>
          <w:numId w:val="2"/>
        </w:numPr>
        <w:spacing w:after="80"/>
      </w:pPr>
      <w:r>
        <w:rPr>
          <w:color w:val="222222"/>
          <w:sz w:val="21"/>
          <w:szCs w:val="21"/>
        </w:rPr>
        <w:t xml:space="preserve">Configurable fulfillment time targets by request type.</w:t>
      </w:r>
    </w:p>
    <w:p>
      <w:pPr>
        <w:pStyle w:val="Heading2"/>
        <w:spacing w:after="140" w:before="280"/>
      </w:pPr>
      <w:r>
        <w:rPr>
          <w:b/>
          <w:bCs/>
          <w:color w:val="4472C4"/>
          <w:sz w:val="24"/>
          <w:szCs w:val="24"/>
        </w:rPr>
        <w:t xml:space="preserve">Process Flow</w:t>
      </w:r>
    </w:p>
    <w:p>
      <w:pPr>
        <w:pStyle w:val="ListParagraph"/>
        <w:numPr>
          <w:ilvl w:val="0"/>
          <w:numId w:val="3"/>
        </w:numPr>
        <w:spacing w:after="100"/>
      </w:pPr>
      <w:r>
        <w:rPr>
          <w:color w:val="222222"/>
          <w:sz w:val="21"/>
          <w:szCs w:val="21"/>
        </w:rPr>
        <w:t xml:space="preserve">Submission — a user submits a request, selecting the desired item and completing the required form.</w:t>
      </w:r>
    </w:p>
    <w:p>
      <w:pPr>
        <w:pStyle w:val="ListParagraph"/>
        <w:numPr>
          <w:ilvl w:val="0"/>
          <w:numId w:val="3"/>
        </w:numPr>
        <w:spacing w:after="100"/>
      </w:pPr>
      <w:r>
        <w:rPr>
          <w:color w:val="222222"/>
          <w:sz w:val="21"/>
          <w:szCs w:val="21"/>
        </w:rPr>
        <w:t xml:space="preserve">Approval — if required, the request is routed to the designated approver(s) before fulfillment begins.</w:t>
      </w:r>
    </w:p>
    <w:p>
      <w:pPr>
        <w:pStyle w:val="ListParagraph"/>
        <w:numPr>
          <w:ilvl w:val="0"/>
          <w:numId w:val="3"/>
        </w:numPr>
        <w:spacing w:after="100"/>
      </w:pPr>
      <w:r>
        <w:rPr>
          <w:color w:val="222222"/>
          <w:sz w:val="21"/>
          <w:szCs w:val="21"/>
        </w:rPr>
        <w:t xml:space="preserve">Task Generation — one or more fulfillment tasks are created and assigned to the responsible team.</w:t>
      </w:r>
    </w:p>
    <w:p>
      <w:pPr>
        <w:pStyle w:val="ListParagraph"/>
        <w:numPr>
          <w:ilvl w:val="0"/>
          <w:numId w:val="3"/>
        </w:numPr>
        <w:spacing w:after="100"/>
      </w:pPr>
      <w:r>
        <w:rPr>
          <w:color w:val="222222"/>
          <w:sz w:val="21"/>
          <w:szCs w:val="21"/>
        </w:rPr>
        <w:t xml:space="preserve">Fulfillment — the fulfilling team completes the requested action (e.g., provisioning, provisioning access, delivering an item).</w:t>
      </w:r>
    </w:p>
    <w:p>
      <w:pPr>
        <w:pStyle w:val="ListParagraph"/>
        <w:numPr>
          <w:ilvl w:val="0"/>
          <w:numId w:val="3"/>
        </w:numPr>
        <w:spacing w:after="100"/>
      </w:pPr>
      <w:r>
        <w:rPr>
          <w:color w:val="222222"/>
          <w:sz w:val="21"/>
          <w:szCs w:val="21"/>
        </w:rPr>
        <w:t xml:space="preserve">Confirmation — the requester is notified of completion and confirms receipt or satisfaction.</w:t>
      </w:r>
    </w:p>
    <w:p>
      <w:pPr>
        <w:pStyle w:val="ListParagraph"/>
        <w:numPr>
          <w:ilvl w:val="0"/>
          <w:numId w:val="3"/>
        </w:numPr>
        <w:spacing w:after="100"/>
      </w:pPr>
      <w:r>
        <w:rPr>
          <w:color w:val="222222"/>
          <w:sz w:val="21"/>
          <w:szCs w:val="21"/>
        </w:rPr>
        <w:t xml:space="preserve">Closure — the request is closed once all linked tasks are complete and confirmed.</w:t>
      </w:r>
    </w:p>
    <w:p>
      <w:pPr>
        <w:spacing w:after="120"/>
      </w:pPr>
    </w:p>
    <w:p>
      <w:pPr>
        <w:pStyle w:val="Heading3"/>
        <w:spacing w:after="100" w:before="200"/>
      </w:pPr>
      <w:r>
        <w:rPr>
          <w:b/>
          <w:bCs/>
          <w:color w:val="1A2744"/>
          <w:sz w:val="21"/>
          <w:szCs w:val="21"/>
        </w:rPr>
        <w:t xml:space="preserve">Status Lifecycle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Status</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Description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Submitted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Request received; awaiting approval or task assignment.</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Pending Approval</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Awaiting a required approval before fulfillment can begin.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In Progress</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One or more fulfillment tasks are actively being worked.</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Fulfilled</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All fulfillment tasks are complete; pending requester confirmation.</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Closed</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Confirmed complete or auto-closed after the defined confirmation window.</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Cancelled</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Withdrawn by the requester or rejected during approval.</w:t>
            </w:r>
          </w:p>
        </w:tc>
      </w:tr>
    </w:tbl>
    <w:p>
      <w:pPr>
        <w:spacing w:after="120"/>
      </w:pPr>
    </w:p>
    <w:p>
      <w:pPr>
        <w:pStyle w:val="Heading2"/>
        <w:spacing w:after="140" w:before="280"/>
      </w:pPr>
      <w:r>
        <w:rPr>
          <w:b/>
          <w:bCs/>
          <w:color w:val="4472C4"/>
          <w:sz w:val="24"/>
          <w:szCs w:val="24"/>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4350"/>
        <w:gridCol w:w="1200"/>
        <w:gridCol w:w="2600"/>
      </w:tblGrid>
      <w:tr>
        <w:trPr>
          <w:cantSplit/>
          <w:tblHeader/>
        </w:trPr>
        <w:tc>
          <w:tcPr>
            <w:tcW w:type="dxa" w:w="115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5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REQ-FR-001</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requests to be submitted using a dynamic form specific to the selected request type.</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The correct form fields display based on the item selected.</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REQ-FR-002</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configurable approval rules per request type (e.g., manager approval above a cost threshold).</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Requests requiring approval are held until the designated approver responds.</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REQ-FR-003</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automatically generate one or more fulfillment tasks upon approval, routed to the correct fulfilling team.</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Tasks are created with correct assignment based on the request type.</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REQ-FR-004</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provide the requester with real-time visibility into the status of their request and all linked tasks.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Status updates are reflected to the requester within an acceptable delay after a task changes state.</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REQ-FR-005</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requests containing multiple items in a single submission (a cart-style request).</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Each item generates its own tracked fulfillment task under a shared parent request.</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REQ-FR-006</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notify the requester upon fulfillment and request confirmation of satisfaction.</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 confirmation prompt is sent and the response is recorded against the request.</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REQ-FR-007</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auto-close fulfilled requests after a configurable period of requester inactivity.</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Auto-closure runs on schedule and records the closure reason.</w:t>
            </w:r>
          </w:p>
        </w:tc>
      </w:tr>
    </w:tbl>
    <w:p>
      <w:pPr>
        <w:spacing w:after="120"/>
      </w:pPr>
    </w:p>
    <w:p>
      <w:pPr>
        <w:pStyle w:val="Heading2"/>
        <w:spacing w:after="140" w:before="280"/>
      </w:pPr>
      <w:r>
        <w:rPr>
          <w:b/>
          <w:bCs/>
          <w:color w:val="4472C4"/>
          <w:sz w:val="24"/>
          <w:szCs w:val="24"/>
        </w:rPr>
        <w:t xml:space="preserve">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cantSplit/>
          <w:tblHeader/>
        </w:trPr>
        <w:tc>
          <w:tcPr>
            <w:tcW w:type="dxa" w:w="2600"/>
            <w:shd w:fill="1A2744" w:val="clear"/>
            <w:tcMar>
              <w:top w:type="dxa" w:w="100"/>
              <w:left w:type="dxa" w:w="120"/>
              <w:bottom w:type="dxa" w:w="100"/>
              <w:right w:type="dxa" w:w="120"/>
            </w:tcMar>
            <w:vAlign w:val="center"/>
          </w:tcPr>
          <w:p>
            <w:r>
              <w:rPr>
                <w:b/>
                <w:bCs/>
                <w:color w:val="FFFFFF"/>
                <w:sz w:val="19"/>
                <w:szCs w:val="19"/>
              </w:rPr>
              <w:t xml:space="preserve">KPI</w:t>
            </w:r>
          </w:p>
        </w:tc>
        <w:tc>
          <w:tcPr>
            <w:tcW w:type="dxa" w:w="4200"/>
            <w:shd w:fill="1A2744" w:val="clear"/>
            <w:tcMar>
              <w:top w:type="dxa" w:w="100"/>
              <w:left w:type="dxa" w:w="120"/>
              <w:bottom w:type="dxa" w:w="100"/>
              <w:right w:type="dxa" w:w="120"/>
            </w:tcMar>
            <w:vAlign w:val="center"/>
          </w:tcPr>
          <w:p>
            <w:r>
              <w:rPr>
                <w:b/>
                <w:bCs/>
                <w:color w:val="FFFFFF"/>
                <w:sz w:val="19"/>
                <w:szCs w:val="19"/>
              </w:rPr>
              <w:t xml:space="preserve">Definition</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Target</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Average Fulfillment Time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Average time from submission to fulfillment, by request type.</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Per request-type target</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Approval Cycle Time</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Average time a request spends awaiting approval.</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1 business day</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Request Volume by Type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Monthly count of requests per catalog item, for demand planning.</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Tracked monthly</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Requester Satisfaction</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Post-fulfillment satisfaction score.</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4.2 / 5</w:t>
            </w:r>
          </w:p>
        </w:tc>
      </w:tr>
    </w:tbl>
    <w:p>
      <w:r>
        <w:br w:type="page"/>
      </w:r>
    </w:p>
    <w:p>
      <w:pPr>
        <w:pStyle w:val="Heading1"/>
        <w:pBdr>
          <w:bottom w:val="single" w:color="1A2744" w:sz="6" w:space="4"/>
        </w:pBdr>
        <w:spacing w:after="200" w:before="400"/>
      </w:pPr>
      <w:r>
        <w:rPr>
          <w:b/>
          <w:bCs/>
          <w:color w:val="1A2744"/>
          <w:sz w:val="30"/>
          <w:szCs w:val="30"/>
        </w:rPr>
        <w:t xml:space="preserve">7.6 Service Catalog</w:t>
      </w:r>
    </w:p>
    <w:p>
      <w:pPr>
        <w:spacing w:after="160" w:line="276"/>
      </w:pPr>
      <w:r>
        <w:rPr>
          <w:color w:val="222222"/>
          <w:sz w:val="21"/>
          <w:szCs w:val="21"/>
        </w:rPr>
        <w:t xml:space="preserve">The Service Catalog is the presentation layer through which users discover and request available services, equipment, and information — the storefront that feeds Request Management. It ensures users can find what they need quickly, with clear descriptions, costs, and expected delivery times, without needing to know which team fulfills the request.</w:t>
      </w:r>
    </w:p>
    <w:p>
      <w:pPr>
        <w:pStyle w:val="Heading2"/>
        <w:spacing w:after="140" w:before="280"/>
      </w:pPr>
      <w:r>
        <w:rPr>
          <w:b/>
          <w:bCs/>
          <w:color w:val="4472C4"/>
          <w:sz w:val="24"/>
          <w:szCs w:val="24"/>
        </w:rPr>
        <w:t xml:space="preserve">Core Capabilities</w:t>
      </w:r>
    </w:p>
    <w:p>
      <w:pPr>
        <w:pStyle w:val="ListParagraph"/>
        <w:numPr>
          <w:ilvl w:val="0"/>
          <w:numId w:val="2"/>
        </w:numPr>
        <w:spacing w:after="80"/>
      </w:pPr>
      <w:r>
        <w:rPr>
          <w:color w:val="222222"/>
          <w:sz w:val="21"/>
          <w:szCs w:val="21"/>
        </w:rPr>
        <w:t xml:space="preserve">A browsable, searchable catalog organized into categories and subcategories.</w:t>
      </w:r>
    </w:p>
    <w:p>
      <w:pPr>
        <w:pStyle w:val="ListParagraph"/>
        <w:numPr>
          <w:ilvl w:val="0"/>
          <w:numId w:val="2"/>
        </w:numPr>
        <w:spacing w:after="80"/>
      </w:pPr>
      <w:r>
        <w:rPr>
          <w:color w:val="222222"/>
          <w:sz w:val="21"/>
          <w:szCs w:val="21"/>
        </w:rPr>
        <w:t xml:space="preserve">Individually configurable catalog items, each with its own form, approval rules, and fulfillment workflow.</w:t>
      </w:r>
    </w:p>
    <w:p>
      <w:pPr>
        <w:pStyle w:val="ListParagraph"/>
        <w:numPr>
          <w:ilvl w:val="0"/>
          <w:numId w:val="2"/>
        </w:numPr>
        <w:spacing w:after="80"/>
      </w:pPr>
      <w:r>
        <w:rPr>
          <w:color w:val="222222"/>
          <w:sz w:val="21"/>
          <w:szCs w:val="21"/>
        </w:rPr>
        <w:t xml:space="preserve">Rich item descriptions including cost, expected delivery time, and eligibility criteria.</w:t>
      </w:r>
    </w:p>
    <w:p>
      <w:pPr>
        <w:pStyle w:val="ListParagraph"/>
        <w:numPr>
          <w:ilvl w:val="0"/>
          <w:numId w:val="2"/>
        </w:numPr>
        <w:spacing w:after="80"/>
      </w:pPr>
      <w:r>
        <w:rPr>
          <w:color w:val="222222"/>
          <w:sz w:val="21"/>
          <w:szCs w:val="21"/>
        </w:rPr>
        <w:t xml:space="preserve">Role-based visibility, so catalog items can be scoped to specific departments, locations, or user groups.</w:t>
      </w:r>
    </w:p>
    <w:p>
      <w:pPr>
        <w:pStyle w:val="ListParagraph"/>
        <w:numPr>
          <w:ilvl w:val="0"/>
          <w:numId w:val="2"/>
        </w:numPr>
        <w:spacing w:after="80"/>
      </w:pPr>
      <w:r>
        <w:rPr>
          <w:color w:val="222222"/>
          <w:sz w:val="21"/>
          <w:szCs w:val="21"/>
        </w:rPr>
        <w:t xml:space="preserve">A cart-style ordering experience for requesting multiple items together.</w:t>
      </w:r>
    </w:p>
    <w:p>
      <w:pPr>
        <w:pStyle w:val="ListParagraph"/>
        <w:numPr>
          <w:ilvl w:val="0"/>
          <w:numId w:val="2"/>
        </w:numPr>
        <w:spacing w:after="80"/>
      </w:pPr>
      <w:r>
        <w:rPr>
          <w:color w:val="222222"/>
          <w:sz w:val="21"/>
          <w:szCs w:val="21"/>
        </w:rPr>
        <w:t xml:space="preserve">Featured and recommended items to guide users toward commonly requested services.</w:t>
      </w:r>
    </w:p>
    <w:p>
      <w:pPr>
        <w:pStyle w:val="Heading2"/>
        <w:spacing w:after="140" w:before="280"/>
      </w:pPr>
      <w:r>
        <w:rPr>
          <w:b/>
          <w:bCs/>
          <w:color w:val="4472C4"/>
          <w:sz w:val="24"/>
          <w:szCs w:val="24"/>
        </w:rPr>
        <w:t xml:space="preserve">Process Flow</w:t>
      </w:r>
    </w:p>
    <w:p>
      <w:pPr>
        <w:pStyle w:val="ListParagraph"/>
        <w:numPr>
          <w:ilvl w:val="0"/>
          <w:numId w:val="3"/>
        </w:numPr>
        <w:spacing w:after="100"/>
      </w:pPr>
      <w:r>
        <w:rPr>
          <w:color w:val="222222"/>
          <w:sz w:val="21"/>
          <w:szCs w:val="21"/>
        </w:rPr>
        <w:t xml:space="preserve">Browse or Search — the user navigates categories or searches the catalog for a specific item.</w:t>
      </w:r>
    </w:p>
    <w:p>
      <w:pPr>
        <w:pStyle w:val="ListParagraph"/>
        <w:numPr>
          <w:ilvl w:val="0"/>
          <w:numId w:val="3"/>
        </w:numPr>
        <w:spacing w:after="100"/>
      </w:pPr>
      <w:r>
        <w:rPr>
          <w:color w:val="222222"/>
          <w:sz w:val="21"/>
          <w:szCs w:val="21"/>
        </w:rPr>
        <w:t xml:space="preserve">Item Selection — the user reviews the item description, cost, and eligibility, and adds it to their request.</w:t>
      </w:r>
    </w:p>
    <w:p>
      <w:pPr>
        <w:pStyle w:val="ListParagraph"/>
        <w:numPr>
          <w:ilvl w:val="0"/>
          <w:numId w:val="3"/>
        </w:numPr>
        <w:spacing w:after="100"/>
      </w:pPr>
      <w:r>
        <w:rPr>
          <w:color w:val="222222"/>
          <w:sz w:val="21"/>
          <w:szCs w:val="21"/>
        </w:rPr>
        <w:t xml:space="preserve">Form Completion — the user completes any required details specific to the selected item.</w:t>
      </w:r>
    </w:p>
    <w:p>
      <w:pPr>
        <w:pStyle w:val="ListParagraph"/>
        <w:numPr>
          <w:ilvl w:val="0"/>
          <w:numId w:val="3"/>
        </w:numPr>
        <w:spacing w:after="100"/>
      </w:pPr>
      <w:r>
        <w:rPr>
          <w:color w:val="222222"/>
          <w:sz w:val="21"/>
          <w:szCs w:val="21"/>
        </w:rPr>
        <w:t xml:space="preserve">Submission — the request is submitted and handed off to Request Management for approval and fulfillment tracking.</w:t>
      </w:r>
    </w:p>
    <w:p>
      <w:pPr>
        <w:pStyle w:val="ListParagraph"/>
        <w:numPr>
          <w:ilvl w:val="0"/>
          <w:numId w:val="3"/>
        </w:numPr>
        <w:spacing w:after="100"/>
      </w:pPr>
      <w:r>
        <w:rPr>
          <w:color w:val="222222"/>
          <w:sz w:val="21"/>
          <w:szCs w:val="21"/>
        </w:rPr>
        <w:t xml:space="preserve">Catalog Maintenance — catalog owners periodically review item accuracy, retire unused items, and add new offerings.</w:t>
      </w:r>
    </w:p>
    <w:p>
      <w:pPr>
        <w:spacing w:after="120"/>
      </w:pPr>
    </w:p>
    <w:p>
      <w:pPr>
        <w:pStyle w:val="Heading2"/>
        <w:spacing w:after="140" w:before="280"/>
      </w:pPr>
      <w:r>
        <w:rPr>
          <w:b/>
          <w:bCs/>
          <w:color w:val="4472C4"/>
          <w:sz w:val="24"/>
          <w:szCs w:val="24"/>
        </w:rPr>
        <w:t xml:space="preserve">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50"/>
        <w:gridCol w:w="4350"/>
        <w:gridCol w:w="1200"/>
        <w:gridCol w:w="2600"/>
      </w:tblGrid>
      <w:tr>
        <w:trPr>
          <w:cantSplit/>
          <w:tblHeader/>
        </w:trPr>
        <w:tc>
          <w:tcPr>
            <w:tcW w:type="dxa" w:w="115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5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6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CAT-FR-001</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present catalog items organized into browsable categories and subcategories.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Users can navigate to any published item within three clicks from the catalog home.</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CAT-FR-002</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each catalog item to define its own intake form, approval rule, and fulfillment task template.</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Submitting different items produces the correct form and downstream task configuration for each.</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CAT-FR-003</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display estimated cost and expected delivery time on each catalog item.</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Cost and delivery-time fields are visible on the item detail view.</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CAT-FR-004</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role-based visibility so specific items are only shown to eligible users or groups.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Restricted items do not appear in the catalog for ineligible users.</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CAT-FR-005</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adding multiple catalog items to a single cart before submission.</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 submitted cart generates a single parent request with linked items.</w:t>
            </w:r>
          </w:p>
        </w:tc>
      </w:tr>
      <w:tr>
        <w:trPr>
          <w:cantSplit/>
        </w:trPr>
        <w:tc>
          <w:tcPr>
            <w:tcW w:type="dxa" w:w="11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CAT-FR-006</w:t>
            </w:r>
          </w:p>
        </w:tc>
        <w:tc>
          <w:tcPr>
            <w:tcW w:type="dxa" w:w="435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provide catalog owners with a management view to publish, update, or retire items.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Retired items no longer appear in search or browse results for end users.</w:t>
            </w:r>
          </w:p>
        </w:tc>
      </w:tr>
      <w:tr>
        <w:trPr>
          <w:cantSplit/>
        </w:trPr>
        <w:tc>
          <w:tcPr>
            <w:tcW w:type="dxa" w:w="1150"/>
            <w:tcMar>
              <w:top w:type="dxa" w:w="90"/>
              <w:left w:type="dxa" w:w="120"/>
              <w:bottom w:type="dxa" w:w="90"/>
              <w:right w:type="dxa" w:w="120"/>
            </w:tcMar>
            <w:vAlign w:val="center"/>
          </w:tcPr>
          <w:p>
            <w:pPr>
              <w:spacing w:after="40"/>
            </w:pPr>
            <w:r>
              <w:rPr>
                <w:b w:val="false"/>
                <w:bCs w:val="false"/>
                <w:color w:val="222222"/>
                <w:sz w:val="19"/>
                <w:szCs w:val="19"/>
              </w:rPr>
              <w:t xml:space="preserve">CAT-FR-007</w:t>
            </w:r>
          </w:p>
        </w:tc>
        <w:tc>
          <w:tcPr>
            <w:tcW w:type="dxa" w:w="4350"/>
            <w:tcMar>
              <w:top w:type="dxa" w:w="90"/>
              <w:left w:type="dxa" w:w="120"/>
              <w:bottom w:type="dxa" w:w="90"/>
              <w:right w:type="dxa" w:w="120"/>
            </w:tcMar>
            <w:vAlign w:val="center"/>
          </w:tcPr>
          <w:p>
            <w:pPr>
              <w:spacing w:after="40"/>
            </w:pPr>
            <w:r>
              <w:rPr>
                <w:b w:val="false"/>
                <w:bCs w:val="false"/>
                <w:color w:val="222222"/>
                <w:sz w:val="19"/>
                <w:szCs w:val="19"/>
              </w:rPr>
              <w:t xml:space="preserve">The system shall support featured or recommended items on the catalog home page.</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Could</w:t>
            </w:r>
          </w:p>
        </w:tc>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Configured featured items display prominently on the catalog landing view.</w:t>
            </w:r>
          </w:p>
        </w:tc>
      </w:tr>
    </w:tbl>
    <w:p>
      <w:pPr>
        <w:spacing w:after="120"/>
      </w:pPr>
    </w:p>
    <w:p>
      <w:pPr>
        <w:pStyle w:val="Heading2"/>
        <w:spacing w:after="140" w:before="280"/>
      </w:pPr>
      <w:r>
        <w:rPr>
          <w:b/>
          <w:bCs/>
          <w:color w:val="4472C4"/>
          <w:sz w:val="24"/>
          <w:szCs w:val="24"/>
        </w:rPr>
        <w:t xml:space="preserve">Key Performance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cantSplit/>
          <w:tblHeader/>
        </w:trPr>
        <w:tc>
          <w:tcPr>
            <w:tcW w:type="dxa" w:w="2600"/>
            <w:shd w:fill="1A2744" w:val="clear"/>
            <w:tcMar>
              <w:top w:type="dxa" w:w="100"/>
              <w:left w:type="dxa" w:w="120"/>
              <w:bottom w:type="dxa" w:w="100"/>
              <w:right w:type="dxa" w:w="120"/>
            </w:tcMar>
            <w:vAlign w:val="center"/>
          </w:tcPr>
          <w:p>
            <w:r>
              <w:rPr>
                <w:b/>
                <w:bCs/>
                <w:color w:val="FFFFFF"/>
                <w:sz w:val="19"/>
                <w:szCs w:val="19"/>
              </w:rPr>
              <w:t xml:space="preserve">KPI</w:t>
            </w:r>
          </w:p>
        </w:tc>
        <w:tc>
          <w:tcPr>
            <w:tcW w:type="dxa" w:w="4200"/>
            <w:shd w:fill="1A2744" w:val="clear"/>
            <w:tcMar>
              <w:top w:type="dxa" w:w="100"/>
              <w:left w:type="dxa" w:w="120"/>
              <w:bottom w:type="dxa" w:w="100"/>
              <w:right w:type="dxa" w:w="120"/>
            </w:tcMar>
            <w:vAlign w:val="center"/>
          </w:tcPr>
          <w:p>
            <w:r>
              <w:rPr>
                <w:b/>
                <w:bCs/>
                <w:color w:val="FFFFFF"/>
                <w:sz w:val="19"/>
                <w:szCs w:val="19"/>
              </w:rPr>
              <w:t xml:space="preserve">Definition</w:t>
            </w:r>
          </w:p>
        </w:tc>
        <w:tc>
          <w:tcPr>
            <w:tcW w:type="dxa" w:w="2200"/>
            <w:shd w:fill="1A2744" w:val="clear"/>
            <w:tcMar>
              <w:top w:type="dxa" w:w="100"/>
              <w:left w:type="dxa" w:w="120"/>
              <w:bottom w:type="dxa" w:w="100"/>
              <w:right w:type="dxa" w:w="120"/>
            </w:tcMar>
            <w:vAlign w:val="center"/>
          </w:tcPr>
          <w:p>
            <w:r>
              <w:rPr>
                <w:b/>
                <w:bCs/>
                <w:color w:val="FFFFFF"/>
                <w:sz w:val="19"/>
                <w:szCs w:val="19"/>
              </w:rPr>
              <w:t xml:space="preserve">Target</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Catalog Adoption Rate</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Percentage of all requests submitted via the catalog versus other channels.</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 80%</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Item Search Success Rate</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Percentage of catalog searches resulting in a submitted request.</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60%</w:t>
            </w:r>
          </w:p>
        </w:tc>
      </w:tr>
      <w:tr>
        <w:trPr>
          <w:cantSplit/>
        </w:trPr>
        <w:tc>
          <w:tcPr>
            <w:tcW w:type="dxa" w:w="2600"/>
            <w:tcMar>
              <w:top w:type="dxa" w:w="90"/>
              <w:left w:type="dxa" w:w="120"/>
              <w:bottom w:type="dxa" w:w="90"/>
              <w:right w:type="dxa" w:w="120"/>
            </w:tcMar>
            <w:vAlign w:val="center"/>
          </w:tcPr>
          <w:p>
            <w:pPr>
              <w:spacing w:after="40"/>
            </w:pPr>
            <w:r>
              <w:rPr>
                <w:b w:val="false"/>
                <w:bCs w:val="false"/>
                <w:color w:val="222222"/>
                <w:sz w:val="19"/>
                <w:szCs w:val="19"/>
              </w:rPr>
              <w:t xml:space="preserve">Average Items per Cart</w:t>
            </w:r>
          </w:p>
        </w:tc>
        <w:tc>
          <w:tcPr>
            <w:tcW w:type="dxa" w:w="4200"/>
            <w:tcMar>
              <w:top w:type="dxa" w:w="90"/>
              <w:left w:type="dxa" w:w="120"/>
              <w:bottom w:type="dxa" w:w="90"/>
              <w:right w:type="dxa" w:w="120"/>
            </w:tcMar>
            <w:vAlign w:val="center"/>
          </w:tcPr>
          <w:p>
            <w:pPr>
              <w:spacing w:after="40"/>
            </w:pPr>
            <w:r>
              <w:rPr>
                <w:b w:val="false"/>
                <w:bCs w:val="false"/>
                <w:color w:val="222222"/>
                <w:sz w:val="19"/>
                <w:szCs w:val="19"/>
              </w:rPr>
              <w:t xml:space="preserve">Average number of items included per multi-item submission.</w:t>
            </w:r>
          </w:p>
        </w:tc>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Tracked monthly</w:t>
            </w:r>
          </w:p>
        </w:tc>
      </w:tr>
      <w:tr>
        <w:trPr>
          <w:cantSplit/>
        </w:trPr>
        <w:tc>
          <w:tcPr>
            <w:tcW w:type="dxa" w:w="2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Catalog Freshness</w:t>
            </w:r>
          </w:p>
        </w:tc>
        <w:tc>
          <w:tcPr>
            <w:tcW w:type="dxa" w:w="4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Percentage of items reviewed and confirmed accurate within the defined cycle.</w:t>
            </w:r>
          </w:p>
        </w:tc>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 90%</w:t>
            </w:r>
          </w:p>
        </w:tc>
      </w:tr>
    </w:tbl>
    <w:p>
      <w:r>
        <w:br w:type="page"/>
      </w:r>
    </w:p>
    <w:p>
      <w:pPr>
        <w:pStyle w:val="Heading1"/>
        <w:pBdr>
          <w:bottom w:val="single" w:color="1A2744" w:sz="6" w:space="4"/>
        </w:pBdr>
        <w:spacing w:after="200" w:before="400"/>
      </w:pPr>
      <w:r>
        <w:rPr>
          <w:b/>
          <w:bCs/>
          <w:color w:val="1A2744"/>
          <w:sz w:val="30"/>
          <w:szCs w:val="30"/>
        </w:rPr>
        <w:t xml:space="preserve">8. Cross-Module Integration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200"/>
        <w:gridCol w:w="2700"/>
      </w:tblGrid>
      <w:tr>
        <w:trPr>
          <w:cantSplit/>
          <w:tblHeader/>
        </w:trPr>
        <w:tc>
          <w:tcPr>
            <w:tcW w:type="dxa" w:w="1300"/>
            <w:shd w:fill="1A2744" w:val="clear"/>
            <w:tcMar>
              <w:top w:type="dxa" w:w="100"/>
              <w:left w:type="dxa" w:w="120"/>
              <w:bottom w:type="dxa" w:w="100"/>
              <w:right w:type="dxa" w:w="120"/>
            </w:tcMar>
            <w:vAlign w:val="center"/>
          </w:tcPr>
          <w:p>
            <w:r>
              <w:rPr>
                <w:b/>
                <w:bCs/>
                <w:color w:val="FFFFFF"/>
                <w:sz w:val="19"/>
                <w:szCs w:val="19"/>
              </w:rPr>
              <w:t xml:space="preserve">Req ID</w:t>
            </w:r>
          </w:p>
        </w:tc>
        <w:tc>
          <w:tcPr>
            <w:tcW w:type="dxa" w:w="4300"/>
            <w:shd w:fill="1A2744" w:val="clear"/>
            <w:tcMar>
              <w:top w:type="dxa" w:w="100"/>
              <w:left w:type="dxa" w:w="120"/>
              <w:bottom w:type="dxa" w:w="100"/>
              <w:right w:type="dxa" w:w="120"/>
            </w:tcMar>
            <w:vAlign w:val="center"/>
          </w:tcPr>
          <w:p>
            <w:r>
              <w:rPr>
                <w:b/>
                <w:bCs/>
                <w:color w:val="FFFFFF"/>
                <w:sz w:val="19"/>
                <w:szCs w:val="19"/>
              </w:rPr>
              <w:t xml:space="preserve">Requirement Description</w:t>
            </w:r>
          </w:p>
        </w:tc>
        <w:tc>
          <w:tcPr>
            <w:tcW w:type="dxa" w:w="1200"/>
            <w:shd w:fill="1A2744" w:val="clear"/>
            <w:tcMar>
              <w:top w:type="dxa" w:w="100"/>
              <w:left w:type="dxa" w:w="120"/>
              <w:bottom w:type="dxa" w:w="100"/>
              <w:right w:type="dxa" w:w="120"/>
            </w:tcMar>
            <w:vAlign w:val="center"/>
          </w:tcPr>
          <w:p>
            <w:r>
              <w:rPr>
                <w:b/>
                <w:bCs/>
                <w:color w:val="FFFFFF"/>
                <w:sz w:val="19"/>
                <w:szCs w:val="19"/>
              </w:rPr>
              <w:t xml:space="preserve">Priority</w:t>
            </w:r>
          </w:p>
        </w:tc>
        <w:tc>
          <w:tcPr>
            <w:tcW w:type="dxa" w:w="2700"/>
            <w:shd w:fill="1A2744" w:val="clear"/>
            <w:tcMar>
              <w:top w:type="dxa" w:w="100"/>
              <w:left w:type="dxa" w:w="120"/>
              <w:bottom w:type="dxa" w:w="100"/>
              <w:right w:type="dxa" w:w="120"/>
            </w:tcMar>
            <w:vAlign w:val="center"/>
          </w:tcPr>
          <w:p>
            <w:r>
              <w:rPr>
                <w:b/>
                <w:bCs/>
                <w:color w:val="FFFFFF"/>
                <w:sz w:val="19"/>
                <w:szCs w:val="19"/>
              </w:rPr>
              <w:t xml:space="preserve">Acceptance Criteria</w:t>
            </w:r>
          </w:p>
        </w:tc>
      </w:tr>
      <w:tr>
        <w:trPr>
          <w:cantSplit/>
        </w:trPr>
        <w:tc>
          <w:tcPr>
            <w:tcW w:type="dxa" w:w="1300"/>
            <w:tcMar>
              <w:top w:type="dxa" w:w="90"/>
              <w:left w:type="dxa" w:w="120"/>
              <w:bottom w:type="dxa" w:w="90"/>
              <w:right w:type="dxa" w:w="120"/>
            </w:tcMar>
            <w:vAlign w:val="center"/>
          </w:tcPr>
          <w:p>
            <w:pPr>
              <w:spacing w:after="40"/>
            </w:pPr>
            <w:r>
              <w:rPr>
                <w:b w:val="false"/>
                <w:bCs w:val="false"/>
                <w:color w:val="222222"/>
                <w:sz w:val="19"/>
                <w:szCs w:val="19"/>
              </w:rPr>
              <w:t xml:space="preserve">INT-FR-001</w:t>
            </w:r>
          </w:p>
        </w:tc>
        <w:tc>
          <w:tcPr>
            <w:tcW w:type="dxa" w:w="430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an incident to be escalated directly into a linked problem record, carrying over description, category, and affected service.</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700"/>
            <w:tcMar>
              <w:top w:type="dxa" w:w="90"/>
              <w:left w:type="dxa" w:w="120"/>
              <w:bottom w:type="dxa" w:w="90"/>
              <w:right w:type="dxa" w:w="120"/>
            </w:tcMar>
            <w:vAlign w:val="center"/>
          </w:tcPr>
          <w:p>
            <w:pPr>
              <w:spacing w:after="40"/>
            </w:pPr>
            <w:r>
              <w:rPr>
                <w:b w:val="false"/>
                <w:bCs w:val="false"/>
                <w:color w:val="222222"/>
                <w:sz w:val="19"/>
                <w:szCs w:val="19"/>
              </w:rPr>
              <w:t xml:space="preserve">The new problem record pre-populates from the source incident and retains a two-way link.</w:t>
            </w:r>
          </w:p>
        </w:tc>
      </w:tr>
      <w:tr>
        <w:trPr>
          <w:cantSplit/>
        </w:trPr>
        <w:tc>
          <w:tcPr>
            <w:tcW w:type="dxa" w:w="13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INT-FR-002</w:t>
            </w:r>
          </w:p>
        </w:tc>
        <w:tc>
          <w:tcPr>
            <w:tcW w:type="dxa" w:w="43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problem record to generate a linked change request for implementing a permanent fix.</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7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change record references the originating problem, and status updates are visible on both records.</w:t>
            </w:r>
          </w:p>
        </w:tc>
      </w:tr>
      <w:tr>
        <w:trPr>
          <w:cantSplit/>
        </w:trPr>
        <w:tc>
          <w:tcPr>
            <w:tcW w:type="dxa" w:w="1300"/>
            <w:tcMar>
              <w:top w:type="dxa" w:w="90"/>
              <w:left w:type="dxa" w:w="120"/>
              <w:bottom w:type="dxa" w:w="90"/>
              <w:right w:type="dxa" w:w="120"/>
            </w:tcMar>
            <w:vAlign w:val="center"/>
          </w:tcPr>
          <w:p>
            <w:pPr>
              <w:spacing w:after="40"/>
            </w:pPr>
            <w:r>
              <w:rPr>
                <w:b w:val="false"/>
                <w:bCs w:val="false"/>
                <w:color w:val="222222"/>
                <w:sz w:val="19"/>
                <w:szCs w:val="19"/>
              </w:rPr>
              <w:t xml:space="preserve">INT-FR-003</w:t>
            </w:r>
          </w:p>
        </w:tc>
        <w:tc>
          <w:tcPr>
            <w:tcW w:type="dxa" w:w="4300"/>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knowledge article to be created directly from a resolved incident or a closed problem.</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700"/>
            <w:tcMar>
              <w:top w:type="dxa" w:w="90"/>
              <w:left w:type="dxa" w:w="120"/>
              <w:bottom w:type="dxa" w:w="90"/>
              <w:right w:type="dxa" w:w="120"/>
            </w:tcMar>
            <w:vAlign w:val="center"/>
          </w:tcPr>
          <w:p>
            <w:pPr>
              <w:spacing w:after="40"/>
            </w:pPr>
            <w:r>
              <w:rPr>
                <w:b w:val="false"/>
                <w:bCs w:val="false"/>
                <w:color w:val="222222"/>
                <w:sz w:val="19"/>
                <w:szCs w:val="19"/>
              </w:rPr>
              <w:t xml:space="preserve">The draft article pre-populates with relevant context from the source record.</w:t>
            </w:r>
          </w:p>
        </w:tc>
      </w:tr>
      <w:tr>
        <w:trPr>
          <w:cantSplit/>
        </w:trPr>
        <w:tc>
          <w:tcPr>
            <w:tcW w:type="dxa" w:w="13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INT-FR-004</w:t>
            </w:r>
          </w:p>
        </w:tc>
        <w:tc>
          <w:tcPr>
            <w:tcW w:type="dxa" w:w="43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allow a catalog item submission to automatically create a tracked request record with linked fulfillment tasks.</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7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Every catalog submission results in a corresponding request record with correct linkage.</w:t>
            </w:r>
          </w:p>
        </w:tc>
      </w:tr>
      <w:tr>
        <w:trPr>
          <w:cantSplit/>
        </w:trPr>
        <w:tc>
          <w:tcPr>
            <w:tcW w:type="dxa" w:w="1300"/>
            <w:tcMar>
              <w:top w:type="dxa" w:w="90"/>
              <w:left w:type="dxa" w:w="120"/>
              <w:bottom w:type="dxa" w:w="90"/>
              <w:right w:type="dxa" w:w="120"/>
            </w:tcMar>
            <w:vAlign w:val="center"/>
          </w:tcPr>
          <w:p>
            <w:pPr>
              <w:spacing w:after="40"/>
            </w:pPr>
            <w:r>
              <w:rPr>
                <w:b w:val="false"/>
                <w:bCs w:val="false"/>
                <w:color w:val="222222"/>
                <w:sz w:val="19"/>
                <w:szCs w:val="19"/>
              </w:rPr>
              <w:t xml:space="preserve">INT-FR-005</w:t>
            </w:r>
          </w:p>
        </w:tc>
        <w:tc>
          <w:tcPr>
            <w:tcW w:type="dxa" w:w="4300"/>
            <w:tcMar>
              <w:top w:type="dxa" w:w="90"/>
              <w:left w:type="dxa" w:w="120"/>
              <w:bottom w:type="dxa" w:w="90"/>
              <w:right w:type="dxa" w:w="120"/>
            </w:tcMar>
            <w:vAlign w:val="center"/>
          </w:tcPr>
          <w:p>
            <w:pPr>
              <w:spacing w:after="40"/>
            </w:pPr>
            <w:r>
              <w:rPr>
                <w:b w:val="false"/>
                <w:bCs w:val="false"/>
                <w:color w:val="222222"/>
                <w:sz w:val="19"/>
                <w:szCs w:val="19"/>
              </w:rPr>
              <w:t xml:space="preserve">The system shall provide a unified search across incidents, problems, changes, requests, and knowledge articles.</w:t>
            </w:r>
          </w:p>
        </w:tc>
        <w:tc>
          <w:tcPr>
            <w:tcW w:type="dxa" w:w="1200"/>
            <w:tcMar>
              <w:top w:type="dxa" w:w="90"/>
              <w:left w:type="dxa" w:w="120"/>
              <w:bottom w:type="dxa" w:w="90"/>
              <w:right w:type="dxa" w:w="120"/>
            </w:tcMar>
            <w:vAlign w:val="center"/>
          </w:tcPr>
          <w:p>
            <w:pPr>
              <w:spacing w:after="40"/>
            </w:pPr>
            <w:r>
              <w:rPr>
                <w:b w:val="false"/>
                <w:bCs w:val="false"/>
                <w:color w:val="222222"/>
                <w:sz w:val="19"/>
                <w:szCs w:val="19"/>
              </w:rPr>
              <w:t xml:space="preserve">Should</w:t>
            </w:r>
          </w:p>
        </w:tc>
        <w:tc>
          <w:tcPr>
            <w:tcW w:type="dxa" w:w="2700"/>
            <w:tcMar>
              <w:top w:type="dxa" w:w="90"/>
              <w:left w:type="dxa" w:w="120"/>
              <w:bottom w:type="dxa" w:w="90"/>
              <w:right w:type="dxa" w:w="120"/>
            </w:tcMar>
            <w:vAlign w:val="center"/>
          </w:tcPr>
          <w:p>
            <w:pPr>
              <w:spacing w:after="40"/>
            </w:pPr>
            <w:r>
              <w:rPr>
                <w:b w:val="false"/>
                <w:bCs w:val="false"/>
                <w:color w:val="222222"/>
                <w:sz w:val="19"/>
                <w:szCs w:val="19"/>
              </w:rPr>
              <w:t xml:space="preserve">A single search returns relevant matches from all applicable modules.</w:t>
            </w:r>
          </w:p>
        </w:tc>
      </w:tr>
      <w:tr>
        <w:trPr>
          <w:cantSplit/>
        </w:trPr>
        <w:tc>
          <w:tcPr>
            <w:tcW w:type="dxa" w:w="13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INT-FR-006</w:t>
            </w:r>
          </w:p>
        </w:tc>
        <w:tc>
          <w:tcPr>
            <w:tcW w:type="dxa" w:w="43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system shall maintain a consistent activity/audit log format across all modules for consistent reporting.</w:t>
            </w:r>
          </w:p>
        </w:tc>
        <w:tc>
          <w:tcPr>
            <w:tcW w:type="dxa" w:w="1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Must</w:t>
            </w:r>
          </w:p>
        </w:tc>
        <w:tc>
          <w:tcPr>
            <w:tcW w:type="dxa" w:w="27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Audit entries from any module follow the same structure (timestamp, user, action, before/after values).</w:t>
            </w:r>
          </w:p>
        </w:tc>
      </w:tr>
    </w:tbl>
    <w:p>
      <w:pPr>
        <w:pStyle w:val="Heading1"/>
        <w:pBdr>
          <w:bottom w:val="single" w:color="1A2744" w:sz="6" w:space="4"/>
        </w:pBdr>
        <w:spacing w:after="200" w:before="400"/>
      </w:pPr>
      <w:r>
        <w:rPr>
          <w:b/>
          <w:bCs/>
          <w:color w:val="1A2744"/>
          <w:sz w:val="30"/>
          <w:szCs w:val="30"/>
        </w:rPr>
        <w:t xml:space="preserve">9. Non-Functional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cantSplit/>
          <w:tblHeader/>
        </w:trPr>
        <w:tc>
          <w:tcPr>
            <w:tcW w:type="dxa" w:w="2200"/>
            <w:shd w:fill="1A2744" w:val="clear"/>
            <w:tcMar>
              <w:top w:type="dxa" w:w="100"/>
              <w:left w:type="dxa" w:w="120"/>
              <w:bottom w:type="dxa" w:w="100"/>
              <w:right w:type="dxa" w:w="120"/>
            </w:tcMar>
            <w:vAlign w:val="center"/>
          </w:tcPr>
          <w:p>
            <w:r>
              <w:rPr>
                <w:b/>
                <w:bCs/>
                <w:color w:val="FFFFFF"/>
                <w:sz w:val="19"/>
                <w:szCs w:val="19"/>
              </w:rPr>
              <w:t xml:space="preserve">Category</w:t>
            </w:r>
          </w:p>
        </w:tc>
        <w:tc>
          <w:tcPr>
            <w:tcW w:type="dxa" w:w="6600"/>
            <w:shd w:fill="1A2744" w:val="clear"/>
            <w:tcMar>
              <w:top w:type="dxa" w:w="100"/>
              <w:left w:type="dxa" w:w="120"/>
              <w:bottom w:type="dxa" w:w="100"/>
              <w:right w:type="dxa" w:w="120"/>
            </w:tcMar>
            <w:vAlign w:val="center"/>
          </w:tcPr>
          <w:p>
            <w:r>
              <w:rPr>
                <w:b/>
                <w:bCs/>
                <w:color w:val="FFFFFF"/>
                <w:sz w:val="19"/>
                <w:szCs w:val="19"/>
              </w:rPr>
              <w:t xml:space="preserve">Requirement</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Performance</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Any record form shall load within 2 seconds under normal load (up to 500 concurrent users).</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Availability</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platform shall maintain 99.9% uptime, excluding scheduled maintenance windows.</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Scalability</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The platform shall support a minimum of 10,000 combined tickets/requests per month without performance degradation.</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Security</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Role-based access control shall restrict data visibility and actions according to the roles defined in Section 4.</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Auditability</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All field changes, status transitions, approvals, and reassignments shall be captured in an activity log with timestamp and user.</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Usability</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The self-service portal and catalog shall be accessible (WCAG 2.1 AA) and usable on both desktop and mobile devices.</w:t>
            </w:r>
          </w:p>
        </w:tc>
      </w:tr>
      <w:tr>
        <w:trPr>
          <w:cantSplit/>
        </w:trPr>
        <w:tc>
          <w:tcPr>
            <w:tcW w:type="dxa" w:w="2200"/>
            <w:tcMar>
              <w:top w:type="dxa" w:w="90"/>
              <w:left w:type="dxa" w:w="120"/>
              <w:bottom w:type="dxa" w:w="90"/>
              <w:right w:type="dxa" w:w="120"/>
            </w:tcMar>
            <w:vAlign w:val="center"/>
          </w:tcPr>
          <w:p>
            <w:pPr>
              <w:spacing w:after="40"/>
            </w:pPr>
            <w:r>
              <w:rPr>
                <w:b w:val="false"/>
                <w:bCs w:val="false"/>
                <w:color w:val="222222"/>
                <w:sz w:val="19"/>
                <w:szCs w:val="19"/>
              </w:rPr>
              <w:t xml:space="preserve">Data Retention</w:t>
            </w:r>
          </w:p>
        </w:tc>
        <w:tc>
          <w:tcPr>
            <w:tcW w:type="dxa" w:w="6600"/>
            <w:tcMar>
              <w:top w:type="dxa" w:w="90"/>
              <w:left w:type="dxa" w:w="120"/>
              <w:bottom w:type="dxa" w:w="90"/>
              <w:right w:type="dxa" w:w="120"/>
            </w:tcMar>
            <w:vAlign w:val="center"/>
          </w:tcPr>
          <w:p>
            <w:pPr>
              <w:spacing w:after="40"/>
            </w:pPr>
            <w:r>
              <w:rPr>
                <w:b w:val="false"/>
                <w:bCs w:val="false"/>
                <w:color w:val="222222"/>
                <w:sz w:val="19"/>
                <w:szCs w:val="19"/>
              </w:rPr>
              <w:t xml:space="preserve">Closed records across all modules shall be retained per the organization's data-retention policy (minimum 3 years).</w:t>
            </w:r>
          </w:p>
        </w:tc>
      </w:tr>
      <w:tr>
        <w:trPr>
          <w:cantSplit/>
        </w:trPr>
        <w:tc>
          <w:tcPr>
            <w:tcW w:type="dxa" w:w="2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Integration Reliability</w:t>
            </w:r>
          </w:p>
        </w:tc>
        <w:tc>
          <w:tcPr>
            <w:tcW w:type="dxa" w:w="6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Automated incident creation from monitoring tools shall achieve a 99.5% successful ingestion rate.</w:t>
            </w:r>
          </w:p>
        </w:tc>
      </w:tr>
    </w:tbl>
    <w:p>
      <w:pPr>
        <w:pStyle w:val="Heading1"/>
        <w:pBdr>
          <w:bottom w:val="single" w:color="1A2744" w:sz="6" w:space="4"/>
        </w:pBdr>
        <w:spacing w:after="200" w:before="400"/>
      </w:pPr>
      <w:r>
        <w:rPr>
          <w:b/>
          <w:bCs/>
          <w:color w:val="1A2744"/>
          <w:sz w:val="30"/>
          <w:szCs w:val="30"/>
        </w:rPr>
        <w:t xml:space="preserve">10. Notification &amp; Communication Requirements</w:t>
      </w:r>
    </w:p>
    <w:p>
      <w:pPr>
        <w:pStyle w:val="ListParagraph"/>
        <w:numPr>
          <w:ilvl w:val="0"/>
          <w:numId w:val="2"/>
        </w:numPr>
        <w:spacing w:after="80"/>
      </w:pPr>
      <w:r>
        <w:rPr>
          <w:color w:val="222222"/>
          <w:sz w:val="21"/>
          <w:szCs w:val="21"/>
        </w:rPr>
        <w:t xml:space="preserve">Users shall receive notifications for key status changes relevant to their submitted incidents and requests (assignment, resolution, closure).</w:t>
      </w:r>
    </w:p>
    <w:p>
      <w:pPr>
        <w:pStyle w:val="ListParagraph"/>
        <w:numPr>
          <w:ilvl w:val="0"/>
          <w:numId w:val="2"/>
        </w:numPr>
        <w:spacing w:after="80"/>
      </w:pPr>
      <w:r>
        <w:rPr>
          <w:color w:val="222222"/>
          <w:sz w:val="21"/>
          <w:szCs w:val="21"/>
        </w:rPr>
        <w:t xml:space="preserve">Approvers shall receive notifications when their approval is required, with a direct link to act.</w:t>
      </w:r>
    </w:p>
    <w:p>
      <w:pPr>
        <w:pStyle w:val="ListParagraph"/>
        <w:numPr>
          <w:ilvl w:val="0"/>
          <w:numId w:val="2"/>
        </w:numPr>
        <w:spacing w:after="80"/>
      </w:pPr>
      <w:r>
        <w:rPr>
          <w:color w:val="222222"/>
          <w:sz w:val="21"/>
          <w:szCs w:val="21"/>
        </w:rPr>
        <w:t xml:space="preserve">Major incidents shall trigger notifications to a defined stakeholder distribution list, with periodic status updates until resolution.</w:t>
      </w:r>
    </w:p>
    <w:p>
      <w:pPr>
        <w:pStyle w:val="ListParagraph"/>
        <w:numPr>
          <w:ilvl w:val="0"/>
          <w:numId w:val="2"/>
        </w:numPr>
        <w:spacing w:after="80"/>
      </w:pPr>
      <w:r>
        <w:rPr>
          <w:color w:val="222222"/>
          <w:sz w:val="21"/>
          <w:szCs w:val="21"/>
        </w:rPr>
        <w:t xml:space="preserve">Notification channels shall include in-platform alerts and email, with delivery status tracked for critical notifications.</w:t>
      </w:r>
    </w:p>
    <w:p>
      <w:pPr>
        <w:pStyle w:val="ListParagraph"/>
        <w:numPr>
          <w:ilvl w:val="0"/>
          <w:numId w:val="2"/>
        </w:numPr>
        <w:spacing w:after="80"/>
      </w:pPr>
      <w:r>
        <w:rPr>
          <w:color w:val="222222"/>
          <w:sz w:val="21"/>
          <w:szCs w:val="21"/>
        </w:rPr>
        <w:t xml:space="preserve">Users shall be able to configure their notification preferences where the organization allows it.</w:t>
      </w:r>
    </w:p>
    <w:p>
      <w:pPr>
        <w:pStyle w:val="Heading1"/>
        <w:pBdr>
          <w:bottom w:val="single" w:color="1A2744" w:sz="6" w:space="4"/>
        </w:pBdr>
        <w:spacing w:after="200" w:before="400"/>
      </w:pPr>
      <w:r>
        <w:rPr>
          <w:b/>
          <w:bCs/>
          <w:color w:val="1A2744"/>
          <w:sz w:val="30"/>
          <w:szCs w:val="30"/>
        </w:rPr>
        <w:t xml:space="preserve">11. Security &amp; Access Control</w:t>
      </w:r>
    </w:p>
    <w:p>
      <w:pPr>
        <w:pStyle w:val="ListParagraph"/>
        <w:numPr>
          <w:ilvl w:val="0"/>
          <w:numId w:val="2"/>
        </w:numPr>
        <w:spacing w:after="80"/>
      </w:pPr>
      <w:r>
        <w:rPr>
          <w:color w:val="222222"/>
          <w:sz w:val="21"/>
          <w:szCs w:val="21"/>
        </w:rPr>
        <w:t xml:space="preserve">Access to each module shall be governed by role-based permissions consistent with the roles defined in Section 4.</w:t>
      </w:r>
    </w:p>
    <w:p>
      <w:pPr>
        <w:pStyle w:val="ListParagraph"/>
        <w:numPr>
          <w:ilvl w:val="0"/>
          <w:numId w:val="2"/>
        </w:numPr>
        <w:spacing w:after="80"/>
      </w:pPr>
      <w:r>
        <w:rPr>
          <w:color w:val="222222"/>
          <w:sz w:val="21"/>
          <w:szCs w:val="21"/>
        </w:rPr>
        <w:t xml:space="preserve">Sensitive fields (e.g., cost, approval decisions) shall be restricted to authorized roles only.</w:t>
      </w:r>
    </w:p>
    <w:p>
      <w:pPr>
        <w:pStyle w:val="ListParagraph"/>
        <w:numPr>
          <w:ilvl w:val="0"/>
          <w:numId w:val="2"/>
        </w:numPr>
        <w:spacing w:after="80"/>
      </w:pPr>
      <w:r>
        <w:rPr>
          <w:color w:val="222222"/>
          <w:sz w:val="21"/>
          <w:szCs w:val="21"/>
        </w:rPr>
        <w:t xml:space="preserve">All authentication shall integrate with the organization's existing identity provider for single sign-on.</w:t>
      </w:r>
    </w:p>
    <w:p>
      <w:pPr>
        <w:pStyle w:val="ListParagraph"/>
        <w:numPr>
          <w:ilvl w:val="0"/>
          <w:numId w:val="2"/>
        </w:numPr>
        <w:spacing w:after="80"/>
      </w:pPr>
      <w:r>
        <w:rPr>
          <w:color w:val="222222"/>
          <w:sz w:val="21"/>
          <w:szCs w:val="21"/>
        </w:rPr>
        <w:t xml:space="preserve">All data changes shall be attributable to an authenticated user; anonymous or shared-account changes are not permitted.</w:t>
      </w:r>
    </w:p>
    <w:p>
      <w:pPr>
        <w:pStyle w:val="ListParagraph"/>
        <w:numPr>
          <w:ilvl w:val="0"/>
          <w:numId w:val="2"/>
        </w:numPr>
        <w:spacing w:after="80"/>
      </w:pPr>
      <w:r>
        <w:rPr>
          <w:color w:val="222222"/>
          <w:sz w:val="21"/>
          <w:szCs w:val="21"/>
        </w:rPr>
        <w:t xml:space="preserve">Administrative configuration (workflow rules, catalog structure, approval routing) shall be restricted to designated administrator roles.</w:t>
      </w:r>
    </w:p>
    <w:p>
      <w:pPr>
        <w:pStyle w:val="Heading1"/>
        <w:pBdr>
          <w:bottom w:val="single" w:color="1A2744" w:sz="6" w:space="4"/>
        </w:pBdr>
        <w:spacing w:after="200" w:before="400"/>
      </w:pPr>
      <w:r>
        <w:rPr>
          <w:b/>
          <w:bCs/>
          <w:color w:val="1A2744"/>
          <w:sz w:val="30"/>
          <w:szCs w:val="30"/>
        </w:rPr>
        <w:t xml:space="preserve">12. Reporting &amp; Dashboards</w:t>
      </w:r>
    </w:p>
    <w:p>
      <w:pPr>
        <w:spacing w:after="160" w:line="276"/>
      </w:pPr>
      <w:r>
        <w:rPr>
          <w:color w:val="222222"/>
          <w:sz w:val="21"/>
          <w:szCs w:val="21"/>
        </w:rPr>
        <w:t xml:space="preserve">The following dashboards shall be delivered to support stakeholder visibility across the platform:</w:t>
      </w:r>
    </w:p>
    <w:p>
      <w:pPr>
        <w:pStyle w:val="ListParagraph"/>
        <w:numPr>
          <w:ilvl w:val="0"/>
          <w:numId w:val="2"/>
        </w:numPr>
        <w:spacing w:after="80"/>
      </w:pPr>
      <w:r>
        <w:rPr>
          <w:color w:val="222222"/>
          <w:sz w:val="21"/>
          <w:szCs w:val="21"/>
        </w:rPr>
        <w:t xml:space="preserve">Service Desk Dashboard — real-time queue view across incidents and requests, sorted by priority and service-level status.</w:t>
      </w:r>
    </w:p>
    <w:p>
      <w:pPr>
        <w:pStyle w:val="ListParagraph"/>
        <w:numPr>
          <w:ilvl w:val="0"/>
          <w:numId w:val="2"/>
        </w:numPr>
        <w:spacing w:after="80"/>
      </w:pPr>
      <w:r>
        <w:rPr>
          <w:color w:val="222222"/>
          <w:sz w:val="21"/>
          <w:szCs w:val="21"/>
        </w:rPr>
        <w:t xml:space="preserve">Management Dashboard — cross-module volume trends, service-level compliance, and change success rate.</w:t>
      </w:r>
    </w:p>
    <w:p>
      <w:pPr>
        <w:pStyle w:val="ListParagraph"/>
        <w:numPr>
          <w:ilvl w:val="0"/>
          <w:numId w:val="2"/>
        </w:numPr>
        <w:spacing w:after="80"/>
      </w:pPr>
      <w:r>
        <w:rPr>
          <w:color w:val="222222"/>
          <w:sz w:val="21"/>
          <w:szCs w:val="21"/>
        </w:rPr>
        <w:t xml:space="preserve">Problem &amp; Known-Error Register — active problems, root-cause status, and linked incident counts.</w:t>
      </w:r>
    </w:p>
    <w:p>
      <w:pPr>
        <w:pStyle w:val="ListParagraph"/>
        <w:numPr>
          <w:ilvl w:val="0"/>
          <w:numId w:val="2"/>
        </w:numPr>
        <w:spacing w:after="80"/>
      </w:pPr>
      <w:r>
        <w:rPr>
          <w:color w:val="222222"/>
          <w:sz w:val="21"/>
          <w:szCs w:val="21"/>
        </w:rPr>
        <w:t xml:space="preserve">Change Calendar View — all scheduled changes with conflict and blackout-window indicators.</w:t>
      </w:r>
    </w:p>
    <w:p>
      <w:pPr>
        <w:pStyle w:val="ListParagraph"/>
        <w:numPr>
          <w:ilvl w:val="0"/>
          <w:numId w:val="2"/>
        </w:numPr>
        <w:spacing w:after="80"/>
      </w:pPr>
      <w:r>
        <w:rPr>
          <w:color w:val="222222"/>
          <w:sz w:val="21"/>
          <w:szCs w:val="21"/>
        </w:rPr>
        <w:t xml:space="preserve">Knowledge Effectiveness Dashboard — article usage, ratings, and self-service deflection rate.</w:t>
      </w:r>
    </w:p>
    <w:p>
      <w:pPr>
        <w:pStyle w:val="ListParagraph"/>
        <w:numPr>
          <w:ilvl w:val="0"/>
          <w:numId w:val="2"/>
        </w:numPr>
        <w:spacing w:after="80"/>
      </w:pPr>
      <w:r>
        <w:rPr>
          <w:color w:val="222222"/>
          <w:sz w:val="21"/>
          <w:szCs w:val="21"/>
        </w:rPr>
        <w:t xml:space="preserve">Customer-Facing Summary — a simplified view for the customer showing open items, upcoming changes, and overall performance against targets.</w:t>
      </w:r>
    </w:p>
    <w:p>
      <w:r>
        <w:br w:type="page"/>
      </w:r>
    </w:p>
    <w:p>
      <w:pPr>
        <w:pStyle w:val="Heading1"/>
        <w:pBdr>
          <w:bottom w:val="single" w:color="1A2744" w:sz="6" w:space="4"/>
        </w:pBdr>
        <w:spacing w:after="200" w:before="400"/>
      </w:pPr>
      <w:r>
        <w:rPr>
          <w:b/>
          <w:bCs/>
          <w:color w:val="1A2744"/>
          <w:sz w:val="30"/>
          <w:szCs w:val="30"/>
        </w:rPr>
        <w:t xml:space="preserve">13. Assumptions &amp; Constraints</w:t>
      </w:r>
    </w:p>
    <w:p>
      <w:pPr>
        <w:pStyle w:val="Heading2"/>
        <w:spacing w:after="140" w:before="280"/>
      </w:pPr>
      <w:r>
        <w:rPr>
          <w:b/>
          <w:bCs/>
          <w:color w:val="4472C4"/>
          <w:sz w:val="24"/>
          <w:szCs w:val="24"/>
        </w:rPr>
        <w:t xml:space="preserve">13.1 Assumptions</w:t>
      </w:r>
    </w:p>
    <w:p>
      <w:pPr>
        <w:pStyle w:val="ListParagraph"/>
        <w:numPr>
          <w:ilvl w:val="0"/>
          <w:numId w:val="2"/>
        </w:numPr>
        <w:spacing w:after="80"/>
      </w:pPr>
      <w:r>
        <w:rPr>
          <w:color w:val="222222"/>
          <w:sz w:val="21"/>
          <w:szCs w:val="21"/>
        </w:rPr>
        <w:t xml:space="preserve">All end users have access to the self-service portal or corporate email.</w:t>
      </w:r>
    </w:p>
    <w:p>
      <w:pPr>
        <w:pStyle w:val="ListParagraph"/>
        <w:numPr>
          <w:ilvl w:val="0"/>
          <w:numId w:val="2"/>
        </w:numPr>
        <w:spacing w:after="80"/>
      </w:pPr>
      <w:r>
        <w:rPr>
          <w:color w:val="222222"/>
          <w:sz w:val="21"/>
          <w:szCs w:val="21"/>
        </w:rPr>
        <w:t xml:space="preserve">Support teams, approvers, and catalog owners are identified and staffed prior to go-live.</w:t>
      </w:r>
    </w:p>
    <w:p>
      <w:pPr>
        <w:pStyle w:val="ListParagraph"/>
        <w:numPr>
          <w:ilvl w:val="0"/>
          <w:numId w:val="2"/>
        </w:numPr>
        <w:spacing w:after="80"/>
      </w:pPr>
      <w:r>
        <w:rPr>
          <w:color w:val="222222"/>
          <w:sz w:val="21"/>
          <w:szCs w:val="21"/>
        </w:rPr>
        <w:t xml:space="preserve">The organization's identity provider is available for single sign-on integration.</w:t>
      </w:r>
    </w:p>
    <w:p>
      <w:pPr>
        <w:pStyle w:val="Heading2"/>
        <w:spacing w:after="140" w:before="280"/>
      </w:pPr>
      <w:r>
        <w:rPr>
          <w:b/>
          <w:bCs/>
          <w:color w:val="4472C4"/>
          <w:sz w:val="24"/>
          <w:szCs w:val="24"/>
        </w:rPr>
        <w:t xml:space="preserve">13.2 Constraints</w:t>
      </w:r>
    </w:p>
    <w:p>
      <w:pPr>
        <w:pStyle w:val="ListParagraph"/>
        <w:numPr>
          <w:ilvl w:val="0"/>
          <w:numId w:val="2"/>
        </w:numPr>
        <w:spacing w:after="80"/>
      </w:pPr>
      <w:r>
        <w:rPr>
          <w:color w:val="222222"/>
          <w:sz w:val="21"/>
          <w:szCs w:val="21"/>
        </w:rPr>
        <w:t xml:space="preserve">Service-level and approval targets referenced in this document are default proposed values, subject to stakeholder sign-off before go-live.</w:t>
      </w:r>
    </w:p>
    <w:p>
      <w:pPr>
        <w:pStyle w:val="ListParagraph"/>
        <w:numPr>
          <w:ilvl w:val="0"/>
          <w:numId w:val="2"/>
        </w:numPr>
        <w:spacing w:after="80"/>
      </w:pPr>
      <w:r>
        <w:rPr>
          <w:color w:val="222222"/>
          <w:sz w:val="21"/>
          <w:szCs w:val="21"/>
        </w:rPr>
        <w:t xml:space="preserve">Monitoring-tool integrations for automated incident creation depend on the availability of the relevant vendor's interface.</w:t>
      </w:r>
    </w:p>
    <w:p>
      <w:pPr>
        <w:pStyle w:val="ListParagraph"/>
        <w:numPr>
          <w:ilvl w:val="0"/>
          <w:numId w:val="2"/>
        </w:numPr>
        <w:spacing w:after="80"/>
      </w:pPr>
      <w:r>
        <w:rPr>
          <w:color w:val="222222"/>
          <w:sz w:val="21"/>
          <w:szCs w:val="21"/>
        </w:rPr>
        <w:t xml:space="preserve">Phased delivery may be required across modules based on project timeline and resourcing.</w:t>
      </w:r>
    </w:p>
    <w:p>
      <w:pPr>
        <w:pStyle w:val="Heading1"/>
        <w:pBdr>
          <w:bottom w:val="single" w:color="1A2744" w:sz="6" w:space="4"/>
        </w:pBdr>
        <w:spacing w:after="200" w:before="400"/>
      </w:pPr>
      <w:r>
        <w:rPr>
          <w:b/>
          <w:bCs/>
          <w:color w:val="1A2744"/>
          <w:sz w:val="30"/>
          <w:szCs w:val="30"/>
        </w:rPr>
        <w:t xml:space="preserve">14.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00"/>
        <w:gridCol w:w="1600"/>
      </w:tblGrid>
      <w:tr>
        <w:trPr>
          <w:cantSplit/>
          <w:tblHeader/>
        </w:trPr>
        <w:tc>
          <w:tcPr>
            <w:tcW w:type="dxa" w:w="3200"/>
            <w:shd w:fill="1A2744" w:val="clear"/>
            <w:tcMar>
              <w:top w:type="dxa" w:w="100"/>
              <w:left w:type="dxa" w:w="120"/>
              <w:bottom w:type="dxa" w:w="100"/>
              <w:right w:type="dxa" w:w="120"/>
            </w:tcMar>
            <w:vAlign w:val="center"/>
          </w:tcPr>
          <w:p>
            <w:r>
              <w:rPr>
                <w:b/>
                <w:bCs/>
                <w:color w:val="FFFFFF"/>
                <w:sz w:val="19"/>
                <w:szCs w:val="19"/>
              </w:rPr>
              <w:t xml:space="preserve">Risk</w:t>
            </w:r>
          </w:p>
        </w:tc>
        <w:tc>
          <w:tcPr>
            <w:tcW w:type="dxa" w:w="2800"/>
            <w:shd w:fill="1A2744" w:val="clear"/>
            <w:tcMar>
              <w:top w:type="dxa" w:w="100"/>
              <w:left w:type="dxa" w:w="120"/>
              <w:bottom w:type="dxa" w:w="100"/>
              <w:right w:type="dxa" w:w="120"/>
            </w:tcMar>
            <w:vAlign w:val="center"/>
          </w:tcPr>
          <w:p>
            <w:r>
              <w:rPr>
                <w:b/>
                <w:bCs/>
                <w:color w:val="FFFFFF"/>
                <w:sz w:val="19"/>
                <w:szCs w:val="19"/>
              </w:rPr>
              <w:t xml:space="preserve">Mitigation</w:t>
            </w:r>
          </w:p>
        </w:tc>
        <w:tc>
          <w:tcPr>
            <w:tcW w:type="dxa" w:w="1600"/>
            <w:shd w:fill="1A2744" w:val="clear"/>
            <w:tcMar>
              <w:top w:type="dxa" w:w="100"/>
              <w:left w:type="dxa" w:w="120"/>
              <w:bottom w:type="dxa" w:w="100"/>
              <w:right w:type="dxa" w:w="120"/>
            </w:tcMar>
            <w:vAlign w:val="center"/>
          </w:tcPr>
          <w:p>
            <w:r>
              <w:rPr>
                <w:b/>
                <w:bCs/>
                <w:color w:val="FFFFFF"/>
                <w:sz w:val="19"/>
                <w:szCs w:val="19"/>
              </w:rPr>
              <w:t xml:space="preserve">Owner</w:t>
            </w:r>
          </w:p>
        </w:tc>
        <w:tc>
          <w:tcPr>
            <w:tcW w:type="dxa" w:w="1600"/>
            <w:shd w:fill="1A2744" w:val="clear"/>
            <w:tcMar>
              <w:top w:type="dxa" w:w="100"/>
              <w:left w:type="dxa" w:w="120"/>
              <w:bottom w:type="dxa" w:w="100"/>
              <w:right w:type="dxa" w:w="120"/>
            </w:tcMar>
            <w:vAlign w:val="center"/>
          </w:tcPr>
          <w:p>
            <w:r>
              <w:rPr>
                <w:b/>
                <w:bCs/>
                <w:color w:val="FFFFFF"/>
                <w:sz w:val="19"/>
                <w:szCs w:val="19"/>
              </w:rPr>
              <w:t xml:space="preserve">Severity</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Low adoption of the self-service portal and catalog by end users.</w:t>
            </w:r>
          </w:p>
        </w:tc>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User training, clear communication, and a phased rollout with feedback loops.</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Product Owner</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Medium</w:t>
            </w:r>
          </w:p>
        </w:tc>
      </w:tr>
      <w:tr>
        <w:trPr>
          <w:cantSplit/>
        </w:trPr>
        <w:tc>
          <w:tcPr>
            <w:tcW w:type="dxa" w:w="3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Approval bottlenecks slowing down Normal and Emergency changes.</w:t>
            </w:r>
          </w:p>
        </w:tc>
        <w:tc>
          <w:tcPr>
            <w:tcW w:type="dxa" w:w="2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Defined approval SLAs and escalation if an approver does not respond in time.</w:t>
            </w:r>
          </w:p>
        </w:tc>
        <w:tc>
          <w:tcPr>
            <w:tcW w:type="dxa" w:w="1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Change Owner</w:t>
            </w:r>
          </w:p>
        </w:tc>
        <w:tc>
          <w:tcPr>
            <w:tcW w:type="dxa" w:w="1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High</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Inconsistent categorization data affecting auto-routing accuracy.</w:t>
            </w:r>
          </w:p>
        </w:tc>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Governance review of category taxonomy prior to go-live; periodic audits.</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Business Analyst</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Medium</w:t>
            </w:r>
          </w:p>
        </w:tc>
      </w:tr>
      <w:tr>
        <w:trPr>
          <w:cantSplit/>
        </w:trPr>
        <w:tc>
          <w:tcPr>
            <w:tcW w:type="dxa" w:w="32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Knowledge base falling out of date, reducing trust in self-service.</w:t>
            </w:r>
          </w:p>
        </w:tc>
        <w:tc>
          <w:tcPr>
            <w:tcW w:type="dxa" w:w="28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Scheduled review cycles and ownership assigned per article category.</w:t>
            </w:r>
          </w:p>
        </w:tc>
        <w:tc>
          <w:tcPr>
            <w:tcW w:type="dxa" w:w="1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Knowledge Owner</w:t>
            </w:r>
          </w:p>
        </w:tc>
        <w:tc>
          <w:tcPr>
            <w:tcW w:type="dxa" w:w="1600"/>
            <w:shd w:fill="F2F2F2" w:val="clear"/>
            <w:tcMar>
              <w:top w:type="dxa" w:w="90"/>
              <w:left w:type="dxa" w:w="120"/>
              <w:bottom w:type="dxa" w:w="90"/>
              <w:right w:type="dxa" w:w="120"/>
            </w:tcMar>
            <w:vAlign w:val="center"/>
          </w:tcPr>
          <w:p>
            <w:pPr>
              <w:spacing w:after="40"/>
            </w:pPr>
            <w:r>
              <w:rPr>
                <w:b w:val="false"/>
                <w:bCs w:val="false"/>
                <w:color w:val="222222"/>
                <w:sz w:val="19"/>
                <w:szCs w:val="19"/>
              </w:rPr>
              <w:t xml:space="preserve">Medium</w:t>
            </w:r>
          </w:p>
        </w:tc>
      </w:tr>
      <w:tr>
        <w:trPr>
          <w:cantSplit/>
        </w:trPr>
        <w:tc>
          <w:tcPr>
            <w:tcW w:type="dxa" w:w="3200"/>
            <w:tcMar>
              <w:top w:type="dxa" w:w="90"/>
              <w:left w:type="dxa" w:w="120"/>
              <w:bottom w:type="dxa" w:w="90"/>
              <w:right w:type="dxa" w:w="120"/>
            </w:tcMar>
            <w:vAlign w:val="center"/>
          </w:tcPr>
          <w:p>
            <w:pPr>
              <w:spacing w:after="40"/>
            </w:pPr>
            <w:r>
              <w:rPr>
                <w:b w:val="false"/>
                <w:bCs w:val="false"/>
                <w:color w:val="222222"/>
                <w:sz w:val="19"/>
                <w:szCs w:val="19"/>
              </w:rPr>
              <w:t xml:space="preserve">Scope creep across six modules delaying delivery.</w:t>
            </w:r>
          </w:p>
        </w:tc>
        <w:tc>
          <w:tcPr>
            <w:tcW w:type="dxa" w:w="2800"/>
            <w:tcMar>
              <w:top w:type="dxa" w:w="90"/>
              <w:left w:type="dxa" w:w="120"/>
              <w:bottom w:type="dxa" w:w="90"/>
              <w:right w:type="dxa" w:w="120"/>
            </w:tcMar>
            <w:vAlign w:val="center"/>
          </w:tcPr>
          <w:p>
            <w:pPr>
              <w:spacing w:after="40"/>
            </w:pPr>
            <w:r>
              <w:rPr>
                <w:b w:val="false"/>
                <w:bCs w:val="false"/>
                <w:color w:val="222222"/>
                <w:sz w:val="19"/>
                <w:szCs w:val="19"/>
              </w:rPr>
              <w:t xml:space="preserve">Phased delivery plan with a clearly baselined requirements set (this document) and formal change control for scope changes.</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Product Owner</w:t>
            </w:r>
          </w:p>
        </w:tc>
        <w:tc>
          <w:tcPr>
            <w:tcW w:type="dxa" w:w="1600"/>
            <w:tcMar>
              <w:top w:type="dxa" w:w="90"/>
              <w:left w:type="dxa" w:w="120"/>
              <w:bottom w:type="dxa" w:w="90"/>
              <w:right w:type="dxa" w:w="120"/>
            </w:tcMar>
            <w:vAlign w:val="center"/>
          </w:tcPr>
          <w:p>
            <w:pPr>
              <w:spacing w:after="40"/>
            </w:pPr>
            <w:r>
              <w:rPr>
                <w:b w:val="false"/>
                <w:bCs w:val="false"/>
                <w:color w:val="222222"/>
                <w:sz w:val="19"/>
                <w:szCs w:val="19"/>
              </w:rPr>
              <w:t xml:space="preserve">High</w:t>
            </w:r>
          </w:p>
        </w:tc>
      </w:tr>
    </w:tbl>
    <w:p>
      <w:pPr>
        <w:pStyle w:val="Heading1"/>
        <w:pBdr>
          <w:bottom w:val="single" w:color="1A2744" w:sz="6" w:space="4"/>
        </w:pBdr>
        <w:spacing w:after="200" w:before="400"/>
      </w:pPr>
      <w:r>
        <w:rPr>
          <w:b/>
          <w:bCs/>
          <w:color w:val="1A2744"/>
          <w:sz w:val="30"/>
          <w:szCs w:val="30"/>
        </w:rPr>
        <w:t xml:space="preserve">15. Acceptance Criteria &amp; Sign-off</w:t>
      </w:r>
    </w:p>
    <w:p>
      <w:pPr>
        <w:spacing w:after="160" w:line="276"/>
      </w:pPr>
      <w:r>
        <w:rPr>
          <w:color w:val="222222"/>
          <w:sz w:val="21"/>
          <w:szCs w:val="21"/>
        </w:rPr>
        <w:t xml:space="preserve">This document is considered baselined once reviewed and approved by the Product Owner/Customer, Business Analyst, Engineering Lead, and QA Lead (see Document Control, Section 1). Any subsequent changes to scope or requirements shall follow a formal change-control process, with impact assessed against timeline and effort before approval.</w:t>
      </w:r>
    </w:p>
    <w:p>
      <w:pPr>
        <w:pStyle w:val="Heading1"/>
        <w:pBdr>
          <w:bottom w:val="single" w:color="1A2744" w:sz="6" w:space="4"/>
        </w:pBdr>
        <w:spacing w:after="200" w:before="400"/>
      </w:pPr>
      <w:r>
        <w:rPr>
          <w:b/>
          <w:bCs/>
          <w:color w:val="1A2744"/>
          <w:sz w:val="30"/>
          <w:szCs w:val="30"/>
        </w:rPr>
        <w:t xml:space="preserve">16. Appendix</w:t>
      </w:r>
    </w:p>
    <w:p>
      <w:pPr>
        <w:pStyle w:val="Heading2"/>
        <w:spacing w:after="140" w:before="280"/>
      </w:pPr>
      <w:r>
        <w:rPr>
          <w:b/>
          <w:bCs/>
          <w:color w:val="4472C4"/>
          <w:sz w:val="24"/>
          <w:szCs w:val="24"/>
        </w:rPr>
        <w:t xml:space="preserve">16.1 Referenced Documents</w:t>
      </w:r>
    </w:p>
    <w:p>
      <w:pPr>
        <w:pStyle w:val="ListParagraph"/>
        <w:numPr>
          <w:ilvl w:val="0"/>
          <w:numId w:val="2"/>
        </w:numPr>
        <w:spacing w:after="80"/>
      </w:pPr>
      <w:r>
        <w:rPr>
          <w:color w:val="222222"/>
          <w:sz w:val="21"/>
          <w:szCs w:val="21"/>
        </w:rPr>
        <w:t xml:space="preserve">ITSM-Oryfolks Solution Design Document (to be developed)</w:t>
      </w:r>
    </w:p>
    <w:p>
      <w:pPr>
        <w:pStyle w:val="ListParagraph"/>
        <w:numPr>
          <w:ilvl w:val="0"/>
          <w:numId w:val="2"/>
        </w:numPr>
        <w:spacing w:after="80"/>
      </w:pPr>
      <w:r>
        <w:rPr>
          <w:color w:val="222222"/>
          <w:sz w:val="21"/>
          <w:szCs w:val="21"/>
        </w:rPr>
        <w:t xml:space="preserve">Organizational Service-Level Policy</w:t>
      </w:r>
    </w:p>
    <w:p>
      <w:pPr>
        <w:pStyle w:val="ListParagraph"/>
        <w:numPr>
          <w:ilvl w:val="0"/>
          <w:numId w:val="2"/>
        </w:numPr>
        <w:spacing w:after="80"/>
      </w:pPr>
      <w:r>
        <w:rPr>
          <w:color w:val="222222"/>
          <w:sz w:val="21"/>
          <w:szCs w:val="21"/>
        </w:rPr>
        <w:t xml:space="preserve">Data Retention and Records Management Policy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72"/>
      </w:tabs>
    </w:pPr>
    <w:r>
      <w:rPr>
        <w:color w:val="595959"/>
        <w:sz w:val="16"/>
        <w:szCs w:val="16"/>
      </w:rPr>
      <w:t xml:space="preserve">ITSM-Oryfolks — Business &amp; Functional Requirements Document</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2026-08-19T08:48:32.375Z</dcterms:created>
  <dcterms:modified xsi:type="dcterms:W3CDTF">2026-08-19T08:48:32.388Z</dcterms:modified>
</cp:coreProperties>
</file>

<file path=docProps/custom.xml><?xml version="1.0" encoding="utf-8"?>
<Properties xmlns="http://schemas.openxmlformats.org/officeDocument/2006/custom-properties" xmlns:vt="http://schemas.openxmlformats.org/officeDocument/2006/docPropsVTypes"/>
</file>