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8705" w14:textId="072491C1" w:rsidR="00B0130A" w:rsidRDefault="00000000">
      <w:pPr>
        <w:spacing w:after="200"/>
        <w:jc w:val="center"/>
      </w:pPr>
      <w:r>
        <w:t>Lab 3: Architectural Pattern Justification, Micro-Lending &amp; Peer Credit Risk Assessor ( #33)</w:t>
      </w:r>
    </w:p>
    <w:p w14:paraId="20699EF7" w14:textId="63DB5FF3" w:rsidR="00B0130A" w:rsidRDefault="00000000">
      <w:pPr>
        <w:spacing w:after="140" w:line="264" w:lineRule="auto"/>
      </w:pPr>
      <w:r>
        <w:t xml:space="preserve"> Layered Architecture </w:t>
      </w:r>
      <w:r w:rsidR="00262439">
        <w:t xml:space="preserve">is used </w:t>
      </w:r>
      <w:r>
        <w:t>for the Micro-Lending &amp; Peer Credit Risk Assessor System.</w:t>
      </w:r>
    </w:p>
    <w:p w14:paraId="0F041C89" w14:textId="77777777" w:rsidR="00B0130A" w:rsidRDefault="00000000">
      <w:pPr>
        <w:spacing w:after="140" w:line="264" w:lineRule="auto"/>
      </w:pPr>
      <w:r>
        <w:rPr>
          <w:b/>
          <w:bCs/>
        </w:rPr>
        <w:t xml:space="preserve">Architectural Choice: </w:t>
      </w:r>
      <w:r>
        <w:t>The system uses a three-layer Layered Architecture. The Presentation layer holds the User Interface component with its BorrowerPort, LenderPort and AdminPort. The Business layer holds Loan Manager, Risk Assessment, Repayment Schedule, Payment Service, Default Warning &amp; Notification, Platform Administration and Security &amp; Access Control. The Data layer holds the Database component. The Payment / Banking System and the Email / SMS Gateway are external systems, reached through IBankingGateway and IMessageGateway. Each layer calls only the layer below it, through the interfaces shown in the component diagram (for example ILoanService, IAdminService, IAccessControl and IDataAccess).</w:t>
      </w:r>
    </w:p>
    <w:p w14:paraId="2BC76D17" w14:textId="77777777" w:rsidR="00B0130A" w:rsidRDefault="00000000">
      <w:pPr>
        <w:spacing w:after="140" w:line="264" w:lineRule="auto"/>
      </w:pPr>
      <w:r>
        <w:rPr>
          <w:b/>
          <w:bCs/>
        </w:rPr>
        <w:t xml:space="preserve">Reasons: </w:t>
      </w:r>
      <w:r>
        <w:t>First, a single Data layer gives one transactional boundary. Payment Service runs each EMI debit and credit inside one database ACID transaction through IDataAccess and confirms it with the Payment / Banking System through IBankingGateway, which prevents double-spending (NFR-001). Loan Manager reserves a lender's funding commitment and updates the funded percentage in the same kind of transaction, so a loan can never be over-funded (FR-004). With Microservices these steps would span several services and databases and would need distributed sagas or two-phase commit, which makes double-spending and over-funding harder to rule out. Second, the use cases form tight synchronous chains: UC-01 Submit Loan Application includes UC-02 Compute Credit Risk Score, UC-03 Fund Loan includes UC-04 Generate Repayment Schedule, and UC-06 Trigger Default Warning extends UC-05 Process EMI Payment. Risk scoring is a heuristic rule set (FR-001) and the platform's scale is modest, so in-process calls from Loan Manager to Risk Assessment (IRiskAssessment) and Repayment Schedule (IScheduleGeneration) are simpler and more reliable than separately deployed services.</w:t>
      </w:r>
    </w:p>
    <w:p w14:paraId="1CB0E379" w14:textId="77777777" w:rsidR="00B0130A" w:rsidRDefault="00000000">
      <w:pPr>
        <w:spacing w:after="140" w:line="264" w:lineRule="auto"/>
      </w:pPr>
      <w:r>
        <w:rPr>
          <w:b/>
          <w:bCs/>
        </w:rPr>
        <w:t xml:space="preserve">Security Advantage: </w:t>
      </w:r>
      <w:r>
        <w:t>Every request from the Presentation layer is checked by the Security &amp; Access Control component through IAccessControl, which validates the token, checks the role and masks data. Peer Lenders therefore receive only the aggregated risk tier through Loan Manager and never raw financial documents (NFR-002). Borrower PII and financial data are encrypted at rest with AES-256 in the Data layer and in transit with TLS 1.2 or higher between the Presentation layer, the Business layer and the external Payment / Banking System. Because the Database is reachable only from the Business layer, the user interface can never query it directly.</w:t>
      </w:r>
    </w:p>
    <w:p w14:paraId="491363CF" w14:textId="77777777" w:rsidR="00B0130A" w:rsidRDefault="00000000">
      <w:pPr>
        <w:spacing w:after="140" w:line="264" w:lineRule="auto"/>
      </w:pPr>
      <w:r>
        <w:rPr>
          <w:b/>
          <w:bCs/>
        </w:rPr>
        <w:t xml:space="preserve">Performance Benefit: </w:t>
      </w:r>
      <w:r>
        <w:t>Risk scoring and schedule generation are in-process calls inside the Business layer with no network hop, which helps issue an application ID within 3 seconds (FR-002) and keep the funded percentage current in real time (FR-004). All queries run against a single database without distributed coordination, and Default Warning &amp; Notification scans for overdue EMIs directly through IDataAccess, so a warning can be logged within 1 hour of the 5-day grace period expiring (FR-005). The trade-off is some overhead from passing through layers and less ability to scale one component independently, which is acceptable at this scale.</w:t>
      </w:r>
    </w:p>
    <w:p w14:paraId="07E8E7A6" w14:textId="77777777" w:rsidR="00B0130A" w:rsidRDefault="00000000">
      <w:pPr>
        <w:spacing w:after="140" w:line="264" w:lineRule="auto"/>
      </w:pPr>
      <w:r>
        <w:t>Microservices were rejected because distributed transactions would weaken NFR-001 and FR-004 and add operational cost that this system does not need, and plain Client-Server was rejected because it gives too little internal structure to separate risk scoring, scheduling, payments, notification, administration and security.</w:t>
      </w:r>
    </w:p>
    <w:sectPr w:rsidR="00B013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12B8"/>
    <w:multiLevelType w:val="hybridMultilevel"/>
    <w:tmpl w:val="2FF89CC0"/>
    <w:lvl w:ilvl="0" w:tplc="F74EF83A">
      <w:start w:val="1"/>
      <w:numFmt w:val="bullet"/>
      <w:lvlText w:val="●"/>
      <w:lvlJc w:val="left"/>
      <w:pPr>
        <w:ind w:left="720" w:hanging="360"/>
      </w:pPr>
    </w:lvl>
    <w:lvl w:ilvl="1" w:tplc="61FC7E44">
      <w:start w:val="1"/>
      <w:numFmt w:val="bullet"/>
      <w:lvlText w:val="○"/>
      <w:lvlJc w:val="left"/>
      <w:pPr>
        <w:ind w:left="1440" w:hanging="360"/>
      </w:pPr>
    </w:lvl>
    <w:lvl w:ilvl="2" w:tplc="8234AD80">
      <w:start w:val="1"/>
      <w:numFmt w:val="bullet"/>
      <w:lvlText w:val="■"/>
      <w:lvlJc w:val="left"/>
      <w:pPr>
        <w:ind w:left="2160" w:hanging="360"/>
      </w:pPr>
    </w:lvl>
    <w:lvl w:ilvl="3" w:tplc="7B84FE1C">
      <w:start w:val="1"/>
      <w:numFmt w:val="bullet"/>
      <w:lvlText w:val="●"/>
      <w:lvlJc w:val="left"/>
      <w:pPr>
        <w:ind w:left="2880" w:hanging="360"/>
      </w:pPr>
    </w:lvl>
    <w:lvl w:ilvl="4" w:tplc="2CF8AD9C">
      <w:start w:val="1"/>
      <w:numFmt w:val="bullet"/>
      <w:lvlText w:val="○"/>
      <w:lvlJc w:val="left"/>
      <w:pPr>
        <w:ind w:left="3600" w:hanging="360"/>
      </w:pPr>
    </w:lvl>
    <w:lvl w:ilvl="5" w:tplc="DE4E01C0">
      <w:start w:val="1"/>
      <w:numFmt w:val="bullet"/>
      <w:lvlText w:val="■"/>
      <w:lvlJc w:val="left"/>
      <w:pPr>
        <w:ind w:left="4320" w:hanging="360"/>
      </w:pPr>
    </w:lvl>
    <w:lvl w:ilvl="6" w:tplc="6982F84A">
      <w:start w:val="1"/>
      <w:numFmt w:val="bullet"/>
      <w:lvlText w:val="●"/>
      <w:lvlJc w:val="left"/>
      <w:pPr>
        <w:ind w:left="5040" w:hanging="360"/>
      </w:pPr>
    </w:lvl>
    <w:lvl w:ilvl="7" w:tplc="C6EE3C18">
      <w:start w:val="1"/>
      <w:numFmt w:val="bullet"/>
      <w:lvlText w:val="●"/>
      <w:lvlJc w:val="left"/>
      <w:pPr>
        <w:ind w:left="5760" w:hanging="360"/>
      </w:pPr>
    </w:lvl>
    <w:lvl w:ilvl="8" w:tplc="CD56E0C0">
      <w:start w:val="1"/>
      <w:numFmt w:val="bullet"/>
      <w:lvlText w:val="●"/>
      <w:lvlJc w:val="left"/>
      <w:pPr>
        <w:ind w:left="6480" w:hanging="360"/>
      </w:pPr>
    </w:lvl>
  </w:abstractNum>
  <w:num w:numId="1" w16cid:durableId="73670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0A"/>
    <w:rsid w:val="00262439"/>
    <w:rsid w:val="006A49B2"/>
    <w:rsid w:val="00B01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67385"/>
  <w15:docId w15:val="{FFD3A359-B959-4282-938A-0CB4395E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Vedanth Kiran</cp:lastModifiedBy>
  <cp:revision>2</cp:revision>
  <dcterms:created xsi:type="dcterms:W3CDTF">2026-10-05T03:32:00Z</dcterms:created>
  <dcterms:modified xsi:type="dcterms:W3CDTF">2026-10-05T04:28:00Z</dcterms:modified>
</cp:coreProperties>
</file>