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D8" w:rsidRDefault="001B72FB">
      <w:pPr>
        <w:rPr>
          <w:b/>
        </w:rPr>
      </w:pPr>
      <w:r w:rsidRPr="0064240B">
        <w:rPr>
          <w:b/>
        </w:rPr>
        <w:t>Understanding Salesforce Authentication</w:t>
      </w:r>
      <w:r w:rsidR="00916BA4">
        <w:rPr>
          <w:b/>
        </w:rPr>
        <w:t xml:space="preserve"> Part 1</w:t>
      </w:r>
    </w:p>
    <w:p w:rsidR="0064240B" w:rsidRDefault="0062079A">
      <w:r w:rsidRPr="0062079A">
        <w:t>Salesforce uses the OAuth protocol to allow users of applications to securely access data</w:t>
      </w:r>
      <w:r w:rsidR="00D625A2">
        <w:t xml:space="preserve"> using Salesforce REST APIs</w:t>
      </w:r>
      <w:r w:rsidR="00F4540C">
        <w:t xml:space="preserve">. Salesforce supports </w:t>
      </w:r>
      <w:r w:rsidR="00F4540C" w:rsidRPr="00F4540C">
        <w:t>several different</w:t>
      </w:r>
      <w:r w:rsidR="00F4540C">
        <w:t xml:space="preserve"> OAuth 2.0 authentication flows mentioned below:</w:t>
      </w:r>
    </w:p>
    <w:p w:rsidR="00F4540C" w:rsidRDefault="001269E1" w:rsidP="009B3AF7">
      <w:pPr>
        <w:pStyle w:val="ListParagraph"/>
        <w:numPr>
          <w:ilvl w:val="0"/>
          <w:numId w:val="1"/>
        </w:numPr>
      </w:pPr>
      <w:r w:rsidRPr="00E6650F">
        <w:rPr>
          <w:b/>
        </w:rPr>
        <w:t>Username-password flow</w:t>
      </w:r>
      <w:r w:rsidR="009B3AF7">
        <w:t xml:space="preserve"> - U</w:t>
      </w:r>
      <w:r w:rsidR="009B3AF7" w:rsidRPr="009B3AF7">
        <w:t>sed to authenticate when the consumer already has the user’s credentials.</w:t>
      </w:r>
    </w:p>
    <w:p w:rsidR="00916BA4" w:rsidRDefault="00916BA4" w:rsidP="00916BA4">
      <w:pPr>
        <w:pStyle w:val="ListParagraph"/>
        <w:numPr>
          <w:ilvl w:val="0"/>
          <w:numId w:val="1"/>
        </w:numPr>
      </w:pPr>
      <w:r w:rsidRPr="00E6650F">
        <w:rPr>
          <w:b/>
        </w:rPr>
        <w:t>Web server flow</w:t>
      </w:r>
      <w:r>
        <w:t xml:space="preserve"> - Used</w:t>
      </w:r>
      <w:r w:rsidRPr="001269E1">
        <w:t xml:space="preserve"> by applications that are hosted on a secure server.</w:t>
      </w:r>
    </w:p>
    <w:p w:rsidR="00916BA4" w:rsidRDefault="00916BA4" w:rsidP="00916BA4">
      <w:pPr>
        <w:pStyle w:val="ListParagraph"/>
        <w:numPr>
          <w:ilvl w:val="0"/>
          <w:numId w:val="1"/>
        </w:numPr>
      </w:pPr>
      <w:r w:rsidRPr="00E6650F">
        <w:rPr>
          <w:b/>
        </w:rPr>
        <w:t>User-agent flow</w:t>
      </w:r>
      <w:r>
        <w:t xml:space="preserve"> - U</w:t>
      </w:r>
      <w:r w:rsidRPr="00622F06">
        <w:t>sed by client applications residing in the user’s device</w:t>
      </w:r>
      <w:r>
        <w:t xml:space="preserve"> </w:t>
      </w:r>
      <w:r w:rsidRPr="00622F06">
        <w:t>such as JavaScript, or from a mobile device or a desktop application.</w:t>
      </w:r>
    </w:p>
    <w:p w:rsidR="006762EC" w:rsidRDefault="006762EC" w:rsidP="006762EC">
      <w:r>
        <w:t xml:space="preserve">In this article we will discuss how we can implement </w:t>
      </w:r>
      <w:r w:rsidRPr="006762EC">
        <w:t>Username-password flow</w:t>
      </w:r>
      <w:r w:rsidRPr="006762EC">
        <w:t xml:space="preserve"> authentication in your .net web application.</w:t>
      </w:r>
    </w:p>
    <w:p w:rsidR="004B4949" w:rsidRDefault="004B4949" w:rsidP="006762EC">
      <w:pPr>
        <w:rPr>
          <w:b/>
        </w:rPr>
      </w:pPr>
      <w:r w:rsidRPr="004B4949">
        <w:rPr>
          <w:b/>
        </w:rPr>
        <w:t>Understanding the Username-Password OAuth Authentication Flow</w:t>
      </w:r>
    </w:p>
    <w:p w:rsidR="00B85AAB" w:rsidRPr="00E14A8A" w:rsidRDefault="00B85AAB" w:rsidP="006762EC">
      <w:pPr>
        <w:rPr>
          <w:u w:val="single"/>
        </w:rPr>
      </w:pPr>
      <w:r w:rsidRPr="00B85AAB">
        <w:t xml:space="preserve">This OAuth authentication flow involves passing the user’s credentials back and forth. </w:t>
      </w:r>
      <w:r w:rsidRPr="00E14A8A">
        <w:rPr>
          <w:u w:val="single"/>
        </w:rPr>
        <w:t xml:space="preserve">Use this authentication flow only when necessary. </w:t>
      </w:r>
    </w:p>
    <w:p w:rsidR="006762EC" w:rsidRDefault="00583EEB" w:rsidP="00583EEB">
      <w:pPr>
        <w:jc w:val="center"/>
      </w:pPr>
      <w:r>
        <w:rPr>
          <w:noProof/>
        </w:rPr>
        <w:drawing>
          <wp:inline distT="0" distB="0" distL="0" distR="0">
            <wp:extent cx="3200506" cy="3486150"/>
            <wp:effectExtent l="0" t="0" r="0" b="0"/>
            <wp:docPr id="1" name="Picture 1" descr="Username-password OAuth authentication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name-password OAuth authentication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55" cy="35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A5" w:rsidRDefault="00F622A5" w:rsidP="00F622A5"/>
    <w:p w:rsidR="00F622A5" w:rsidRPr="00083B61" w:rsidRDefault="00F622A5" w:rsidP="00F622A5">
      <w:pPr>
        <w:rPr>
          <w:rFonts w:cstheme="minorHAnsi"/>
          <w:color w:val="333333"/>
          <w:shd w:val="clear" w:color="auto" w:fill="FFFFFF"/>
        </w:rPr>
      </w:pPr>
      <w:r w:rsidRPr="00083B61">
        <w:rPr>
          <w:rFonts w:cstheme="minorHAnsi"/>
          <w:color w:val="333333"/>
          <w:shd w:val="clear" w:color="auto" w:fill="FFFFFF"/>
        </w:rPr>
        <w:t xml:space="preserve">To Authenticate user </w:t>
      </w:r>
      <w:r w:rsidRPr="00083B61">
        <w:rPr>
          <w:rFonts w:cstheme="minorHAnsi"/>
          <w:color w:val="333333"/>
          <w:shd w:val="clear" w:color="auto" w:fill="FFFFFF"/>
        </w:rPr>
        <w:t xml:space="preserve">POST request </w:t>
      </w:r>
      <w:r w:rsidRPr="00083B61">
        <w:rPr>
          <w:rFonts w:cstheme="minorHAnsi"/>
          <w:color w:val="333333"/>
          <w:shd w:val="clear" w:color="auto" w:fill="FFFFFF"/>
        </w:rPr>
        <w:t xml:space="preserve">would need to be made to </w:t>
      </w:r>
      <w:r w:rsidRPr="00083B61">
        <w:rPr>
          <w:rFonts w:cstheme="minorHAnsi"/>
          <w:color w:val="333333"/>
          <w:shd w:val="clear" w:color="auto" w:fill="FFFFFF"/>
        </w:rPr>
        <w:t>the appropriate Salesforce token request endpoint</w:t>
      </w:r>
      <w:r w:rsidR="00EC7A46">
        <w:rPr>
          <w:rFonts w:cstheme="minorHAnsi"/>
          <w:color w:val="333333"/>
          <w:shd w:val="clear" w:color="auto" w:fill="FFFFFF"/>
        </w:rPr>
        <w:t xml:space="preserve"> i.e. #2 in the list below</w:t>
      </w:r>
      <w:r w:rsidRPr="00083B61">
        <w:rPr>
          <w:rFonts w:cstheme="minorHAnsi"/>
          <w:color w:val="333333"/>
          <w:shd w:val="clear" w:color="auto" w:fill="FFFFFF"/>
        </w:rPr>
        <w:t>. P</w:t>
      </w:r>
      <w:r w:rsidRPr="00083B61">
        <w:rPr>
          <w:rFonts w:cstheme="minorHAnsi"/>
          <w:color w:val="333333"/>
          <w:shd w:val="clear" w:color="auto" w:fill="FFFFFF"/>
        </w:rPr>
        <w:t>rimary OAuth endpoints are:</w:t>
      </w:r>
    </w:p>
    <w:p w:rsidR="00F622A5" w:rsidRPr="00F622A5" w:rsidRDefault="00F622A5" w:rsidP="00EC7A46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F622A5">
        <w:rPr>
          <w:rFonts w:cstheme="minorHAnsi"/>
          <w:color w:val="333333"/>
          <w:shd w:val="clear" w:color="auto" w:fill="FFFFFF"/>
        </w:rPr>
        <w:t xml:space="preserve">For authorization: </w:t>
      </w:r>
      <w:hyperlink r:id="rId6" w:history="1">
        <w:r w:rsidRPr="00003BAE">
          <w:rPr>
            <w:rStyle w:val="Hyperlink"/>
            <w:rFonts w:cstheme="minorHAnsi"/>
            <w:shd w:val="clear" w:color="auto" w:fill="FFFFFF"/>
          </w:rPr>
          <w:t>https://login.salesforce.com/services/oauth2/authorize</w:t>
        </w:r>
      </w:hyperlink>
      <w:r>
        <w:rPr>
          <w:rFonts w:cstheme="minorHAnsi"/>
          <w:color w:val="333333"/>
          <w:shd w:val="clear" w:color="auto" w:fill="FFFFFF"/>
        </w:rPr>
        <w:t xml:space="preserve"> </w:t>
      </w:r>
    </w:p>
    <w:p w:rsidR="00F622A5" w:rsidRPr="00F622A5" w:rsidRDefault="00F622A5" w:rsidP="00EC7A46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F622A5">
        <w:rPr>
          <w:rFonts w:cstheme="minorHAnsi"/>
          <w:color w:val="333333"/>
          <w:shd w:val="clear" w:color="auto" w:fill="FFFFFF"/>
        </w:rPr>
        <w:t xml:space="preserve">For token requests: </w:t>
      </w:r>
      <w:hyperlink r:id="rId7" w:history="1">
        <w:r w:rsidRPr="00003BAE">
          <w:rPr>
            <w:rStyle w:val="Hyperlink"/>
            <w:rFonts w:cstheme="minorHAnsi"/>
            <w:shd w:val="clear" w:color="auto" w:fill="FFFFFF"/>
          </w:rPr>
          <w:t>https://login.salesforce.com/services/oauth2/token</w:t>
        </w:r>
      </w:hyperlink>
      <w:r>
        <w:rPr>
          <w:rFonts w:cstheme="minorHAnsi"/>
          <w:color w:val="333333"/>
          <w:shd w:val="clear" w:color="auto" w:fill="FFFFFF"/>
        </w:rPr>
        <w:t xml:space="preserve"> </w:t>
      </w:r>
    </w:p>
    <w:p w:rsidR="00F622A5" w:rsidRPr="00F622A5" w:rsidRDefault="00F622A5" w:rsidP="00EC7A46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 w:rsidRPr="00F622A5">
        <w:rPr>
          <w:rFonts w:cstheme="minorHAnsi"/>
          <w:color w:val="333333"/>
          <w:shd w:val="clear" w:color="auto" w:fill="FFFFFF"/>
        </w:rPr>
        <w:t xml:space="preserve">For revoking OAuth tokens: </w:t>
      </w:r>
      <w:hyperlink r:id="rId8" w:history="1">
        <w:r w:rsidRPr="00003BAE">
          <w:rPr>
            <w:rStyle w:val="Hyperlink"/>
            <w:rFonts w:cstheme="minorHAnsi"/>
            <w:shd w:val="clear" w:color="auto" w:fill="FFFFFF"/>
          </w:rPr>
          <w:t>https://login.salesforce.com/services/oauth2/revoke</w:t>
        </w:r>
      </w:hyperlink>
      <w:r>
        <w:rPr>
          <w:rFonts w:cstheme="minorHAnsi"/>
          <w:color w:val="333333"/>
          <w:shd w:val="clear" w:color="auto" w:fill="FFFFFF"/>
        </w:rPr>
        <w:t xml:space="preserve"> </w:t>
      </w:r>
    </w:p>
    <w:p w:rsidR="00F622A5" w:rsidRDefault="00F622A5" w:rsidP="00F622A5">
      <w:r w:rsidRPr="00F622A5">
        <w:lastRenderedPageBreak/>
        <w:t>If you’re verifying authentication on a sandbox organization, use “test.salesforce.com” instead of “login.salesforce.com” in all the OAuth endpoints listed above.</w:t>
      </w:r>
    </w:p>
    <w:tbl>
      <w:tblPr>
        <w:tblW w:w="0" w:type="auto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51"/>
        <w:gridCol w:w="7541"/>
      </w:tblGrid>
      <w:tr w:rsidR="00AD0C0F" w:rsidRPr="00AD0C0F" w:rsidTr="00AD0C0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</w:rPr>
            </w:pPr>
            <w:r w:rsidRPr="00AD0C0F">
              <w:rPr>
                <w:rFonts w:eastAsia="Times New Roman" w:cstheme="minorHAnsi"/>
                <w:b/>
                <w:bCs/>
                <w:color w:val="333333"/>
              </w:rPr>
              <w:t>Parameter</w:t>
            </w:r>
          </w:p>
        </w:tc>
        <w:tc>
          <w:tcPr>
            <w:tcW w:w="749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</w:rPr>
            </w:pPr>
            <w:r w:rsidRPr="00AD0C0F">
              <w:rPr>
                <w:rFonts w:eastAsia="Times New Roman" w:cstheme="minorHAnsi"/>
                <w:b/>
                <w:bCs/>
                <w:color w:val="333333"/>
              </w:rPr>
              <w:t>Description</w:t>
            </w:r>
          </w:p>
        </w:tc>
      </w:tr>
      <w:tr w:rsidR="00AD0C0F" w:rsidRPr="00AD0C0F" w:rsidTr="00AD0C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grant_type</w:t>
            </w:r>
          </w:p>
        </w:tc>
        <w:tc>
          <w:tcPr>
            <w:tcW w:w="74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Must be </w:t>
            </w:r>
            <w:r w:rsidRPr="00B049F2">
              <w:rPr>
                <w:rFonts w:eastAsia="Times New Roman" w:cstheme="minorHAnsi"/>
                <w:i/>
                <w:color w:val="333333"/>
              </w:rPr>
              <w:t>password</w:t>
            </w:r>
            <w:r w:rsidRPr="00AD0C0F">
              <w:rPr>
                <w:rFonts w:eastAsia="Times New Roman" w:cstheme="minorHAnsi"/>
                <w:color w:val="333333"/>
              </w:rPr>
              <w:t> for this authentication flow.</w:t>
            </w:r>
          </w:p>
        </w:tc>
      </w:tr>
      <w:tr w:rsidR="00AD0C0F" w:rsidRPr="00AD0C0F" w:rsidTr="00AD0C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client_id</w:t>
            </w:r>
          </w:p>
        </w:tc>
        <w:tc>
          <w:tcPr>
            <w:tcW w:w="74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The Consumer Key from the connected app definition.</w:t>
            </w:r>
          </w:p>
        </w:tc>
      </w:tr>
      <w:tr w:rsidR="00AD0C0F" w:rsidRPr="00AD0C0F" w:rsidTr="00AD0C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client_secret</w:t>
            </w:r>
          </w:p>
        </w:tc>
        <w:tc>
          <w:tcPr>
            <w:tcW w:w="74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The Consumer Secret from the connected app definition.</w:t>
            </w:r>
          </w:p>
        </w:tc>
      </w:tr>
      <w:tr w:rsidR="00AD0C0F" w:rsidRPr="00AD0C0F" w:rsidTr="00AD0C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username</w:t>
            </w:r>
          </w:p>
        </w:tc>
        <w:tc>
          <w:tcPr>
            <w:tcW w:w="74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End-user’s username.</w:t>
            </w:r>
          </w:p>
        </w:tc>
      </w:tr>
      <w:tr w:rsidR="00AD0C0F" w:rsidRPr="00AD0C0F" w:rsidTr="00AD0C0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password</w:t>
            </w:r>
          </w:p>
        </w:tc>
        <w:tc>
          <w:tcPr>
            <w:tcW w:w="749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0C0F" w:rsidRPr="00AD0C0F" w:rsidRDefault="00AD0C0F" w:rsidP="00AD0C0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AD0C0F">
              <w:rPr>
                <w:rFonts w:eastAsia="Times New Roman" w:cstheme="minorHAnsi"/>
                <w:color w:val="333333"/>
              </w:rPr>
              <w:t>End-user’s password.</w:t>
            </w:r>
            <w:r w:rsidR="00D12188">
              <w:rPr>
                <w:rFonts w:eastAsia="Times New Roman" w:cstheme="minorHAnsi"/>
                <w:color w:val="333333"/>
              </w:rPr>
              <w:t xml:space="preserve"> </w:t>
            </w:r>
            <w:r w:rsidR="00D12188" w:rsidRPr="00D12188">
              <w:rPr>
                <w:rFonts w:eastAsia="Times New Roman" w:cstheme="minorHAnsi"/>
                <w:b/>
                <w:color w:val="333333"/>
              </w:rPr>
              <w:t>You must append the user’s security token to their password</w:t>
            </w:r>
          </w:p>
        </w:tc>
      </w:tr>
    </w:tbl>
    <w:p w:rsidR="00AD0C0F" w:rsidRDefault="00AD0C0F" w:rsidP="00F622A5"/>
    <w:p w:rsidR="00C5638A" w:rsidRDefault="00C5638A" w:rsidP="00F622A5">
      <w:pPr>
        <w:rPr>
          <w:rFonts w:eastAsia="Times New Roman" w:cstheme="minorHAnsi"/>
          <w:b/>
          <w:color w:val="333333"/>
        </w:rPr>
      </w:pPr>
      <w:r w:rsidRPr="00C5638A">
        <w:rPr>
          <w:b/>
        </w:rPr>
        <w:t>Creating C</w:t>
      </w:r>
      <w:r w:rsidRPr="00AD0C0F">
        <w:rPr>
          <w:rFonts w:eastAsia="Times New Roman" w:cstheme="minorHAnsi"/>
          <w:b/>
          <w:color w:val="333333"/>
        </w:rPr>
        <w:t xml:space="preserve">onnected </w:t>
      </w:r>
      <w:r w:rsidRPr="00C5638A">
        <w:rPr>
          <w:rFonts w:eastAsia="Times New Roman" w:cstheme="minorHAnsi"/>
          <w:b/>
          <w:color w:val="333333"/>
        </w:rPr>
        <w:t>A</w:t>
      </w:r>
      <w:r w:rsidRPr="00AD0C0F">
        <w:rPr>
          <w:rFonts w:eastAsia="Times New Roman" w:cstheme="minorHAnsi"/>
          <w:b/>
          <w:color w:val="333333"/>
        </w:rPr>
        <w:t>pp</w:t>
      </w:r>
      <w:r w:rsidRPr="00C5638A">
        <w:rPr>
          <w:rFonts w:eastAsia="Times New Roman" w:cstheme="minorHAnsi"/>
          <w:b/>
          <w:color w:val="333333"/>
        </w:rPr>
        <w:t xml:space="preserve"> in Salesforce</w:t>
      </w:r>
    </w:p>
    <w:p w:rsidR="00DE6403" w:rsidRPr="00DE6403" w:rsidRDefault="00DE6403" w:rsidP="00DE6403">
      <w:pPr>
        <w:rPr>
          <w:u w:val="single"/>
        </w:rPr>
      </w:pPr>
      <w:r w:rsidRPr="00DE6403">
        <w:rPr>
          <w:u w:val="single"/>
        </w:rPr>
        <w:t>To authenticate using OAuth, you must create a connected app that defines your application’s OAuth settings for the Salesforce organization.</w:t>
      </w:r>
    </w:p>
    <w:p w:rsidR="00DE6403" w:rsidRPr="00DE6403" w:rsidRDefault="00DE6403" w:rsidP="00DE6403">
      <w:r w:rsidRPr="00DE6403">
        <w:t>When you develop an external application that needs to authenticate with Salesforce, you need to define it as a new connected app within the Salesforce organization that informs Salesforce of this new authentication entry point.</w:t>
      </w:r>
    </w:p>
    <w:p w:rsidR="00DE6403" w:rsidRPr="00DE6403" w:rsidRDefault="00DE6403" w:rsidP="00DE6403">
      <w:r w:rsidRPr="00DE6403">
        <w:t>S</w:t>
      </w:r>
      <w:r w:rsidRPr="00DE6403">
        <w:t>teps to create a new connected app</w:t>
      </w:r>
      <w:r w:rsidRPr="00DE6403">
        <w:t>:</w:t>
      </w:r>
    </w:p>
    <w:p w:rsidR="00DE6403" w:rsidRDefault="00DE6403" w:rsidP="00DE6403">
      <w:pPr>
        <w:pStyle w:val="ListParagraph"/>
        <w:numPr>
          <w:ilvl w:val="0"/>
          <w:numId w:val="4"/>
        </w:numPr>
      </w:pPr>
      <w:r w:rsidRPr="00DE6403">
        <w:t xml:space="preserve">From Setup, enter Apps in the Quick Find box, then select </w:t>
      </w:r>
      <w:r w:rsidRPr="00DE6403">
        <w:rPr>
          <w:u w:val="single"/>
        </w:rPr>
        <w:t>Apps</w:t>
      </w:r>
      <w:r w:rsidRPr="00DE6403">
        <w:t xml:space="preserve"> and click </w:t>
      </w:r>
      <w:r w:rsidRPr="00DE6403">
        <w:rPr>
          <w:u w:val="single"/>
        </w:rPr>
        <w:t>New</w:t>
      </w:r>
      <w:r w:rsidRPr="00DE6403">
        <w:t xml:space="preserve"> to start defining a connected app.</w:t>
      </w:r>
    </w:p>
    <w:p w:rsidR="00DE6403" w:rsidRDefault="00DE6403" w:rsidP="00DE6403">
      <w:pPr>
        <w:pStyle w:val="ListParagraph"/>
        <w:numPr>
          <w:ilvl w:val="0"/>
          <w:numId w:val="4"/>
        </w:numPr>
      </w:pPr>
      <w:r w:rsidRPr="00DE6403">
        <w:t>Enter the name of your application.</w:t>
      </w:r>
    </w:p>
    <w:p w:rsidR="00DE6403" w:rsidRDefault="00DE6403" w:rsidP="00DE6403">
      <w:pPr>
        <w:pStyle w:val="ListParagraph"/>
        <w:numPr>
          <w:ilvl w:val="0"/>
          <w:numId w:val="4"/>
        </w:numPr>
      </w:pPr>
      <w:r w:rsidRPr="00DE6403">
        <w:t>Enter the contact email information, as well as any other information appropriate for your application.</w:t>
      </w:r>
    </w:p>
    <w:p w:rsidR="00BD3056" w:rsidRDefault="00DE6403" w:rsidP="00DE6403">
      <w:pPr>
        <w:pStyle w:val="ListParagraph"/>
        <w:numPr>
          <w:ilvl w:val="0"/>
          <w:numId w:val="4"/>
        </w:numPr>
      </w:pPr>
      <w:r w:rsidRPr="00DE6403">
        <w:t xml:space="preserve">Select </w:t>
      </w:r>
      <w:r w:rsidRPr="00DE6403">
        <w:rPr>
          <w:u w:val="single"/>
        </w:rPr>
        <w:t>Enable OAuth Settings</w:t>
      </w:r>
      <w:r w:rsidRPr="00DE6403">
        <w:t>.</w:t>
      </w:r>
    </w:p>
    <w:p w:rsidR="00BD3056" w:rsidRDefault="00DE6403" w:rsidP="009D31BF">
      <w:pPr>
        <w:pStyle w:val="ListParagraph"/>
        <w:numPr>
          <w:ilvl w:val="0"/>
          <w:numId w:val="4"/>
        </w:numPr>
      </w:pPr>
      <w:r w:rsidRPr="00DE6403">
        <w:t>Enter a Callback URL</w:t>
      </w:r>
      <w:r w:rsidR="00BD3056">
        <w:t xml:space="preserve"> (Not used for for </w:t>
      </w:r>
      <w:r w:rsidR="00BD3056" w:rsidRPr="00BD3056">
        <w:t>Username-Password</w:t>
      </w:r>
      <w:r w:rsidR="00BD3056">
        <w:t xml:space="preserve"> flow)</w:t>
      </w:r>
      <w:r w:rsidRPr="00DE6403">
        <w:t xml:space="preserve">. Depending on which OAuth flow you use, this is typically the URL that a user’s browser is redirected to after successful authentication. </w:t>
      </w:r>
    </w:p>
    <w:p w:rsidR="00DE6403" w:rsidRDefault="00DE6403" w:rsidP="009D31BF">
      <w:pPr>
        <w:pStyle w:val="ListParagraph"/>
        <w:numPr>
          <w:ilvl w:val="0"/>
          <w:numId w:val="4"/>
        </w:numPr>
      </w:pPr>
      <w:r w:rsidRPr="00DE6403">
        <w:t>Add all supported OAuth scopes to Selected OAuth Scopes. These scopes refer to permissions given by the user running the connected app.</w:t>
      </w:r>
      <w:r w:rsidR="00BD3056">
        <w:t xml:space="preserve"> Following screenshot is the connected app configuration used in this demo</w:t>
      </w:r>
    </w:p>
    <w:p w:rsidR="00BD3056" w:rsidRPr="00DE6403" w:rsidRDefault="00BD3056" w:rsidP="00BD305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3A57C60" wp14:editId="3BF70A16">
            <wp:extent cx="5943600" cy="3688080"/>
            <wp:effectExtent l="152400" t="152400" r="36195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403" w:rsidRDefault="00DE6403" w:rsidP="004A43E8">
      <w:pPr>
        <w:pStyle w:val="ListParagraph"/>
        <w:numPr>
          <w:ilvl w:val="0"/>
          <w:numId w:val="4"/>
        </w:numPr>
      </w:pPr>
      <w:r w:rsidRPr="00DE6403">
        <w:t>Click Save. The Consumer Key is created and displayed, and the Consumer Secret is created (click the link to reveal it).</w:t>
      </w:r>
      <w:r w:rsidR="004B6EBC">
        <w:t xml:space="preserve"> These keys should be used in the parameter list mentioned above</w:t>
      </w:r>
    </w:p>
    <w:p w:rsidR="00B45CDC" w:rsidRDefault="00E605A3" w:rsidP="00B45CDC">
      <w:r>
        <w:t>Attached sample application demonstrates usage of</w:t>
      </w:r>
      <w:r w:rsidRPr="00E605A3">
        <w:t xml:space="preserve"> </w:t>
      </w:r>
      <w:r w:rsidRPr="00E605A3">
        <w:t>Username-Password OAuth Authentication Flow</w:t>
      </w:r>
      <w:r w:rsidRPr="00E605A3">
        <w:t xml:space="preserve"> to fetch accounts list from Salesforce organization.</w:t>
      </w:r>
    </w:p>
    <w:p w:rsidR="00885DA5" w:rsidRPr="00DE6403" w:rsidRDefault="00885DA5" w:rsidP="00B45CDC">
      <w:r>
        <w:t>Salesforce,</w:t>
      </w:r>
      <w:r w:rsidR="00371CB9">
        <w:t>oAuth,c#</w:t>
      </w:r>
      <w:bookmarkStart w:id="0" w:name="_GoBack"/>
      <w:bookmarkEnd w:id="0"/>
    </w:p>
    <w:sectPr w:rsidR="00885DA5" w:rsidRPr="00DE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8E3"/>
    <w:multiLevelType w:val="hybridMultilevel"/>
    <w:tmpl w:val="C22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854E5"/>
    <w:multiLevelType w:val="hybridMultilevel"/>
    <w:tmpl w:val="266E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4871"/>
    <w:multiLevelType w:val="hybridMultilevel"/>
    <w:tmpl w:val="BEBCA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C803F3"/>
    <w:multiLevelType w:val="hybridMultilevel"/>
    <w:tmpl w:val="444EB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FB"/>
    <w:rsid w:val="00083B61"/>
    <w:rsid w:val="001269E1"/>
    <w:rsid w:val="00143BDA"/>
    <w:rsid w:val="001B72FB"/>
    <w:rsid w:val="002A4245"/>
    <w:rsid w:val="00315747"/>
    <w:rsid w:val="00371CB9"/>
    <w:rsid w:val="004107F2"/>
    <w:rsid w:val="004A43E8"/>
    <w:rsid w:val="004B4949"/>
    <w:rsid w:val="004B6EBC"/>
    <w:rsid w:val="00583EEB"/>
    <w:rsid w:val="005E00AC"/>
    <w:rsid w:val="005E6588"/>
    <w:rsid w:val="0062079A"/>
    <w:rsid w:val="00622F06"/>
    <w:rsid w:val="0064240B"/>
    <w:rsid w:val="006762EC"/>
    <w:rsid w:val="00800892"/>
    <w:rsid w:val="008021D5"/>
    <w:rsid w:val="00885DA5"/>
    <w:rsid w:val="00916BA4"/>
    <w:rsid w:val="0096221E"/>
    <w:rsid w:val="009B3AF7"/>
    <w:rsid w:val="00A25D6F"/>
    <w:rsid w:val="00AD0C0F"/>
    <w:rsid w:val="00B049F2"/>
    <w:rsid w:val="00B45CDC"/>
    <w:rsid w:val="00B85AAB"/>
    <w:rsid w:val="00BD3056"/>
    <w:rsid w:val="00C5638A"/>
    <w:rsid w:val="00CB34D8"/>
    <w:rsid w:val="00D12188"/>
    <w:rsid w:val="00D625A2"/>
    <w:rsid w:val="00DE6403"/>
    <w:rsid w:val="00E14A8A"/>
    <w:rsid w:val="00E605A3"/>
    <w:rsid w:val="00E6650F"/>
    <w:rsid w:val="00EA1D62"/>
    <w:rsid w:val="00EC7A46"/>
    <w:rsid w:val="00F4540C"/>
    <w:rsid w:val="00F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183"/>
  <w15:chartTrackingRefBased/>
  <w15:docId w15:val="{EED86744-FDC4-4BD5-8AF7-5918045A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2A5"/>
    <w:rPr>
      <w:color w:val="0563C1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AD0C0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AD0C0F"/>
  </w:style>
  <w:style w:type="character" w:customStyle="1" w:styleId="keyword">
    <w:name w:val="keyword"/>
    <w:basedOn w:val="DefaultParagraphFont"/>
    <w:rsid w:val="00AD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services/oauth2/revo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services/oauth2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services/oauth2/authoriz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2017-01-11T09:12:00Z</dcterms:created>
  <dcterms:modified xsi:type="dcterms:W3CDTF">2017-01-11T13:32:00Z</dcterms:modified>
</cp:coreProperties>
</file>