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Style w:val="MSJHBD-SB16pt"/>
        </w:rPr>
        <w:t xml:space="preserve">109學年度 第2學期 資料結構與物件導向程式設計 Data Structures and Object-oriented Programming 課程綱要</w:t>
      </w:r>
    </w:p>
    <w:tbl>
      <w:tblGrid>
        <w:gridCol w:w="3000" w:type="dxa"/>
        <w:gridCol w:w="2000" w:type="dxa"/>
        <w:gridCol w:w="3000" w:type="dxa"/>
        <w:gridCol w:w="2000" w:type="dxa"/>
        <w:gridCol w:w="3000" w:type="dxa"/>
        <w:gridCol w:w="2000" w:type="dxa"/>
      </w:tblGrid>
      <w:tblPr>
        <w:tblStyle w:val="myTable"/>
      </w:tblPr>
      <w:tr>
        <w:trPr/>
        <w:tc>
          <w:tcPr>
            <w:tcW w:w="7000" w:type="dxa"/>
            <w:gridSpan w:val="4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
                課程名稱：
                <w:br/>
                （中文）資料結構與物件導向程式設計
                <w:br/>
                （英文）Data Structures and Object-oriented Programming
              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開課單位：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資訊共同  </w:t>
            </w:r>
          </w:p>
        </w:tc>
      </w:tr>
      <w:tr>
        <w:trPr/>
        <w:tc>
          <w:tcPr>
            <w:tcW w:w="7000" w:type="dxa"/>
            <w:gridSpan w:val="4"/>
            <w:vMerge w:val="continue"/>
          </w:tcPr>
          <w:p/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永久課號：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DCP1242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授課教師：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詹力韋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學分數：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3.00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必／選修：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必修</w:t>
            </w:r>
          </w:p>
        </w:tc>
        <w:tc>
          <w:tcPr>
            <w:tcW w:w="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開課年級：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*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先修科目或先備能力：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Programming with C</w:t>
            </w:r>
          </w:p>
        </w:tc>
      </w:tr>
      <w:tr>
        <w:trPr/>
        <w:tc>
          <w:tcPr>
            <w:tcW w:w="13000" w:type="dxa"/>
            <w:gridSpan w:val="6"/>
          </w:tcPr>
          <w:p>
            <w:pPr>
              <w:jc w:val="left"/>
            </w:pPr>
            <w:r>
              <w:rPr>
                <w:rStyle w:val="MSJHBD-SB12pt"/>
              </w:rPr>
              <w:t xml:space="preserve">課程概述與目標：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>-Understand Object-Oriented Programming</w:t>
              <w:br/>
              <w:t>
-Implement Data Structure and Algorithm</w:t>
            </w:r>
          </w:p>
        </w:tc>
      </w:tr>
      <w:tr>
        <w:trPr/>
        <w:tc>
          <w:tcPr>
            <w:tcW w:w="5000" w:type="dxa"/>
            <w:gridSpan w:val="2"/>
          </w:tcPr>
          <w:p>
            <w:pPr>
              <w:jc w:val="left"/>
            </w:pPr>
            <w:r>
              <w:rPr>
                <w:rStyle w:val="MSJHBD-SB12pt"/>
              </w:rPr>
              <w:t xml:space="preserve">教科書（請註明書名、作者、出版社、出版年等資訊）：</w:t>
            </w:r>
          </w:p>
        </w:tc>
        <w:tc>
          <w:tcPr>
            <w:tcW w:w="5000" w:type="dxa"/>
            <w:gridSpan w:val="4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</w:tbl>
    <w:tbl>
      <w:tblGrid>
        <w:gridCol w:w="3000" w:type="dxa"/>
        <w:gridCol w:w="3000" w:type="dxa"/>
        <w:gridCol w:w="1000" w:type="dxa"/>
        <w:gridCol w:w="1000" w:type="dxa"/>
        <w:gridCol w:w="1000" w:type="dxa"/>
        <w:gridCol w:w="1000" w:type="dxa"/>
        <w:gridCol w:w="3000" w:type="dxa"/>
      </w:tblGrid>
      <w:tblPr>
        <w:tblStyle w:val="outlineTable"/>
      </w:tblPr>
      <w:tr>
        <w:trPr/>
        <w:tc>
          <w:tcPr>
            <w:tcW w:w="8000" w:type="dxa"/>
            <w:gridSpan w:val="2"/>
          </w:tcPr>
          <w:p>
            <w:pPr>
              <w:jc w:val="center"/>
            </w:pPr>
            <w:r>
              <w:rPr>
                <w:rStyle w:val="MSJHBD-SB12pt"/>
              </w:rPr>
              <w:t xml:space="preserve">課程大網</w:t>
            </w:r>
          </w:p>
        </w:tc>
        <w:tc>
          <w:tcPr>
            <w:tcW w:w="2000" w:type="dxa"/>
            <w:gridSpan w:val="4"/>
          </w:tcPr>
          <w:p>
            <w:pPr>
              <w:jc w:val="center"/>
            </w:pPr>
            <w:r>
              <w:rPr>
                <w:rStyle w:val="MSJHBD-SB12pt"/>
              </w:rPr>
              <w:t xml:space="preserve">分配時數</w:t>
            </w:r>
          </w:p>
        </w:tc>
        <w:tc>
          <w:tcPr>
            <w:tcW w:w="3000" w:type="dxa"/>
            <w:vMerge w:val="restart"/>
          </w:tcPr>
          <w:p>
            <w:pPr>
              <w:jc w:val="center"/>
            </w:pPr>
            <w:r>
              <w:rPr>
                <w:rStyle w:val="MSJHBD-SB12pt"/>
              </w:rPr>
              <w:t xml:space="preserve">備註</w:t>
            </w:r>
          </w:p>
        </w:tc>
      </w:tr>
      <w:tr>
        <w:trPr/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單元主題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內容綱要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講授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示範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習作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其他</w:t>
            </w:r>
          </w:p>
        </w:tc>
        <w:tc>
          <w:tcPr>
            <w:tcW w:w="3000" w:type="dxa"/>
            <w:vMerge w:val="continue"/>
          </w:tcPr>
          <w:p>
            <w:pPr>
              <w:jc w:val="center"/>
            </w:pPr>
            <w:r>
              <w:rPr>
                <w:rStyle w:val="MSJHBD-SB12pt"/>
              </w:rPr>
              <w:t xml:space="preserve"/>
            </w:r>
          </w:p>
        </w:tc>
      </w:tr>
    </w:tbl>
    <w:tbl>
      <w:tblGrid>
        <w:gridCol w:w="2000" w:type="dxa"/>
        <w:gridCol w:w="5000" w:type="dxa"/>
        <w:gridCol w:w="2000" w:type="dxa"/>
        <w:gridCol w:w="4000" w:type="dxa"/>
      </w:tblGrid>
      <w:tblPr>
        <w:tblStyle w:val="descriptionDataTable"/>
      </w:tblP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教學要點概述：</w:t>
            </w:r>
          </w:p>
        </w:tc>
      </w:tr>
      <w:tr>
        <w:trPr/>
        <w:tc>
          <w:tcPr>
            <w:tcW w:w="13000" w:type="dxa"/>
            <w:gridSpan w:val="4"/>
          </w:tcPr>
          <w:p>
            <w:pPr>
              <w:jc w:val="left"/>
            </w:pPr>
            <w:r>
              <w:rPr>
                <w:rStyle w:val="MSJHBD-SB12pt"/>
              </w:rPr>
              <w:t xml:space="preserve">1.學期作業、考試、評量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  <w:p>
            <w:pPr>
              <w:jc w:val="left"/>
            </w:pPr>
            <w:r>
              <w:rPr>
                <w:rStyle w:val="MSJHBD-SB12pt"/>
              </w:rPr>
              <w:t xml:space="preserve">2.教學方法及教學相關配合事項（如助教、網站或圖書及資料庫等）</w:t>
            </w:r>
          </w:p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  <w:tr>
        <w:trPr/>
        <w:tc>
          <w:tcPr>
            <w:tcW w:w="2000" w:type="dxa"/>
            <w:vMerge w:val="restart"/>
          </w:tcPr>
          <w:p>
            <w:pPr>
              <w:jc w:val="left"/>
            </w:pPr>
            <w:r>
              <w:rPr>
                <w:rStyle w:val="MSJHBD-SB12pt"/>
              </w:rPr>
              <w:t xml:space="preserve">師生晤談</w:t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排定時間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地點</w:t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聯絡方式</w:t>
            </w:r>
          </w:p>
        </w:tc>
      </w:tr>
      <w:tr>
        <w:trPr/>
        <w:tc>
          <w:tcPr>
            <w:tcW w:w="2000" w:type="dxa"/>
            <w:vMerge w:val="continue"/>
          </w:tcPr>
          <w:p>
            <w:pPr>
              <w:jc w:val="left"/>
            </w:pPr>
            <w:r>
              <w:rPr>
                <w:rStyle w:val="MSJHBD-SB12pt"/>
              </w:rPr>
              <w:t xml:space="preserve"/>
            </w:r>
          </w:p>
        </w:tc>
        <w:tc>
          <w:tcPr>
            <w:tcW w:w="5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/>
            </w:r>
          </w:p>
        </w:tc>
      </w:tr>
    </w:tbl>
    <w:tbl>
      <w:tblGrid>
        <w:gridCol w:w="500" w:type="dxa"/>
        <w:gridCol w:w="2500" w:type="dxa"/>
        <w:gridCol w:w="7000" w:type="dxa"/>
      </w:tblGrid>
      <w:tblPr>
        <w:tblStyle w:val="syllabusDataTable"/>
      </w:tblPr>
      <w:tr>
        <w:trPr/>
        <w:tc>
          <w:tcPr>
            <w:tcW w:w="13000" w:type="dxa"/>
            <w:gridSpan w:val="3"/>
          </w:tcPr>
          <w:p>
            <w:pPr>
              <w:jc w:val="left"/>
            </w:pPr>
            <w:r>
              <w:rPr>
                <w:rStyle w:val="MSJHBD-SB12pt"/>
              </w:rPr>
              <w:t xml:space="preserve">每週進度表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週次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上課日期</w:t>
            </w:r>
          </w:p>
        </w:tc>
        <w:tc>
          <w:tcPr>
            <w:tcW w:w="7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課程進度、內容、主題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2/22, 2/25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Course Introduction</w:t>
              <w:br/>
              <w:t>
</w:t>
              <w:br/>
              <w:t>
From C to C++</w:t>
              <w:br/>
              <w:t>
 - C++ Basics</w:t>
              <w:br/>
              <w:t>
 - Flow of Control</w:t>
              <w:br/>
              <w:t>
 - Function Basics</w:t>
              <w:br/>
              <w:t>
 - C++: Parameters and Overloading </w:t>
              <w:br/>
              <w:t>
 - C++: Arrays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3/1, 3/4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C++: Structure and Classes</w:t>
              <w:br/>
              <w:t>
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3/8, 3/11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Static</w:t>
              <w:br/>
              <w:t>
Overloading operators</w:t>
              <w:br/>
              <w:t>
Friend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3/15, 3/18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Inheritance</w:t>
              <w:br/>
              <w:t>
Virtual function</w:t>
              <w:br/>
              <w:t>
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3/22, 3/25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Namespaces</w:t>
              <w:br/>
              <w:t>
Pointers and dynamic arrays</w:t>
              <w:br/>
              <w:t>
Separate compilation and namespaces</w:t>
              <w:br/>
              <w:t>
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3/29, 4/1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Strings</w:t>
              <w:br/>
              <w:t>
Steam and file IO</w:t>
              <w:br/>
              <w:t>
Exceptional handling</w:t>
              <w:br/>
              <w:t>
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7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4/5, 4/8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Templates</w:t>
              <w:br/>
              <w:t>
Linked DS</w:t>
              <w:br/>
              <w:t>
Standard template library(STL)</w:t>
              <w:br/>
              <w:t>
</w:t>
              <w:br/>
              <w:t>
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8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4/12, 4/15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Midterm Exam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9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4/19, 4/22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Run Time Analysis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10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4/26, 4/29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Stack and Queue</w:t>
              <w:br/>
              <w:t>
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11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5/3, 5/6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Sorting</w:t>
              <w:br/>
              <w:t>
Binary Tree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12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5/10, 5/13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Binary Search Tree</w:t>
              <w:br/>
              <w:t>
Binary Heap</w:t>
              <w:br/>
              <w:t>
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13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5/17, 5/20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AVL Tree</w:t>
              <w:br/>
              <w:t>
</w:t>
              <w:br/>
              <w:t>
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14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5/24, 5/29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Graphs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15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5/31, 6/3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Shortest Path</w:t>
              <w:br/>
              <w:t>
Hashing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16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6/7, 6/10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Minimal Spanning Tree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rStyle w:val="BlueMSJHBD-SB12pt"/>
              </w:rPr>
              <w:t xml:space="preserve">17</w:t>
            </w:r>
          </w:p>
        </w:tc>
        <w:tc>
          <w:tcPr>
            <w:tcW w:w="25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6/14, 6/17</w:t>
            </w:r>
          </w:p>
        </w:tc>
        <w:tc>
          <w:tcPr>
            <w:tcW w:w="7000" w:type="dxa"/>
          </w:tcPr>
          <w:p>
            <w:pPr>
              <w:jc w:val="left"/>
            </w:pPr>
            <w:r>
              <w:rPr>
                <w:rStyle w:val="BlueMSJHBD-SB12pt"/>
              </w:rPr>
              <w:t xml:space="preserve">Final-term Exam</w:t>
            </w:r>
          </w:p>
        </w:tc>
      </w:tr>
    </w:tbl>
    <w:tbl>
      <w:tblGrid>
        <w:gridCol w:w="13000" w:type="dxa"/>
      </w:tblGrid>
      <w:tblPr>
        <w:tblStyle w:val="noteTable"/>
      </w:tblP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備註：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1.請遵守智慧財產權觀念及勿使用不法影印教科書。</w:t>
            </w:r>
          </w:p>
        </w:tc>
      </w:tr>
      <w:tr>
        <w:trPr/>
        <w:tc>
          <w:tcPr>
            <w:tcW w:w="13000" w:type="dxa"/>
          </w:tcPr>
          <w:p>
            <w:pPr>
              <w:jc w:val="left"/>
            </w:pPr>
            <w:r>
              <w:rPr>
                <w:rStyle w:val="MSJHBD-SB12pt"/>
              </w:rPr>
              <w:t xml:space="preserve">2.其他欄包含參訪、專題演講等活動。</w:t>
            </w:r>
          </w:p>
        </w:tc>
      </w:tr>
      <w:tr>
        <w:trPr/>
        <w:tc>
          <w:tcPr>
            <w:tcW w:w="13000" w:type="dxa"/>
          </w:tcPr>
          <w:p>
            <w:pPr>
              <w:jc w:val="center"/>
            </w:pPr>
            <w:r>
              <w:rPr>
                <w:rStyle w:val="MSJHBD-SB12pt"/>
              </w:rPr>
              <w:t xml:space="preserve"> Copyright©2019 National Chiao Tung University ALL RIGHTS RESERVED.</w:t>
            </w:r>
          </w:p>
        </w:tc>
      </w:tr>
    </w:tbl>
    <w:sectPr>
      <w:pgSz w:orient="portrait" w:w="11905.511811024" w:h="16837.795275591"/>
      <w:pgMar w:top="566.92913385827" w:right="566.92913385827" w:bottom="566.92913385827" w:left="566.92913385827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4"/>
        <w:szCs w:val="24"/>
        <w:lang w:val="en-US"/>
      </w:rPr>
    </w:rPrDefault>
  </w:docDefaults>
  <w:style w:type="paragraph" w:default="1" w:styleId="Normal">
    <w:name w:val="Normal"/>
    <w:pPr>
      <w:jc w:val="both"/>
      <w:ind w:left="0" w:right="0" w:firstLine="0"/>
      <w:spacing w:before="0" w:after="0" w:line="285.6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MSJHBD-SB16pt"/>
    <w:rPr>
      <w:rFonts w:ascii="微軟正黑體" w:hAnsi="微軟正黑體" w:eastAsia="微軟正黑體" w:cs="微軟正黑體"/>
      <w:sz w:val="32"/>
      <w:szCs w:val="32"/>
    </w:rPr>
  </w:style>
  <w:style w:type="character">
    <w:name w:val="MSJHBD-SB12pt"/>
    <w:rPr>
      <w:rFonts w:ascii="微軟正黑體" w:hAnsi="微軟正黑體" w:eastAsia="微軟正黑體" w:cs="微軟正黑體"/>
      <w:sz w:val="24"/>
      <w:szCs w:val="24"/>
    </w:rPr>
  </w:style>
  <w:style w:type="character">
    <w:name w:val="RedMSJHBD-SB12pt"/>
    <w:rPr>
      <w:rFonts w:ascii="微軟正黑體" w:hAnsi="微軟正黑體" w:eastAsia="微軟正黑體" w:cs="微軟正黑體"/>
      <w:color w:val="FF0000"/>
      <w:sz w:val="24"/>
      <w:szCs w:val="24"/>
    </w:rPr>
  </w:style>
  <w:style w:type="character">
    <w:name w:val="BlueMSJHBD-SB12pt"/>
    <w:rPr>
      <w:rFonts w:ascii="微軟正黑體" w:hAnsi="微軟正黑體" w:eastAsia="微軟正黑體" w:cs="微軟正黑體"/>
      <w:color w:val="0000FF"/>
      <w:sz w:val="24"/>
      <w:szCs w:val="24"/>
    </w:rPr>
  </w:style>
  <w:style w:type="character">
    <w:name w:val="DFKai-SB18pt"/>
    <w:rPr>
      <w:rFonts w:ascii="標楷體" w:hAnsi="標楷體" w:eastAsia="標楷體" w:cs="標楷體"/>
      <w:sz w:val="36"/>
      <w:szCs w:val="36"/>
    </w:rPr>
  </w:style>
  <w:style w:type="character">
    <w:name w:val="DFKai-SB12pt"/>
    <w:rPr>
      <w:rFonts w:ascii="標楷體" w:hAnsi="標楷體" w:eastAsia="標楷體" w:cs="標楷體"/>
      <w:sz w:val="24"/>
      <w:szCs w:val="24"/>
    </w:rPr>
  </w:style>
  <w:style w:type="character">
    <w:name w:val="RedDFKai-SB12pt"/>
    <w:rPr>
      <w:rFonts w:ascii="標楷體" w:hAnsi="標楷體" w:eastAsia="標楷體" w:cs="標楷體"/>
      <w:color w:val="FF0000"/>
      <w:sz w:val="24"/>
      <w:szCs w:val="24"/>
    </w:rPr>
  </w:style>
  <w:style w:type="character">
    <w:name w:val="BlueDFKai-SB12pt"/>
    <w:rPr>
      <w:rFonts w:ascii="標楷體" w:hAnsi="標楷體" w:eastAsia="標楷體" w:cs="標楷體"/>
      <w:color w:val="0000FF"/>
      <w:sz w:val="24"/>
      <w:szCs w:val="24"/>
    </w:rPr>
  </w:style>
  <w:style w:type="table" w:customStyle="1" w:styleId="myTable">
    <w:name w:val="my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outlineTable">
    <w:name w:val="outline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descriptionDataTable">
    <w:name w:val="description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syllabusDataTable">
    <w:name w:val="syllabusDataTable"/>
    <w:uiPriority w:val="99"/>
    <w:tblPr>
      <w:tblW w:w="0" w:type="auto"/>
      <w:tblBorders>
        <w:top w:val="single" w:sz="15" w:color="000000"/>
        <w:left w:val="single" w:sz="15" w:color="000000"/>
        <w:right w:val="single" w:sz="15" w:color="000000"/>
        <w:bottom w:val="single" w:sz="15" w:color="000000"/>
        <w:insideH w:val="single" w:sz="1" w:color="000000"/>
        <w:insideV w:val="single" w:sz="1" w:color="000000"/>
      </w:tblBorders>
    </w:tblPr>
  </w:style>
  <w:style w:type="table" w:customStyle="1" w:styleId="noteTable">
    <w:name w:val="noteTable"/>
    <w:uiPriority w:val="99"/>
    <w:tblPr>
      <w:tblW w:w="0" w:type="auto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NCTU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National Chiao Tung University Curriculum Management System</dc:creator>
  <dc:title>國立陽明交通大學課務管理系統之選課系統</dc:title>
  <dc:description>https://ccms.nycu.edu.tw</dc:description>
  <dc:subject/>
  <cp:keywords/>
  <cp:category/>
  <cp:lastModifiedBy>CCMS</cp:lastModifiedBy>
  <dcterms:created xsi:type="dcterms:W3CDTF">2021-02-23T15:27:29+08:00</dcterms:created>
  <dcterms:modified xsi:type="dcterms:W3CDTF">2021-02-23T15:27:29+08:00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