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2026-05-31T16:25:42.313Z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483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счетчики не терялись в приложениях, ниже отдельно показан rollup по каждой нише. Здесь важно различать three layers: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Эти числа не читаются как “столько прямых клонов Alina”; они показывают, какой объем данных стоит за каждым направлением. Глобальный dedup пакета остается 36,694: построчные niche dedup нельзя просто складывать как уникальных конкурентов,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15,109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14,872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9,952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5,427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83.0%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68.7%</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24,446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16,875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19.0%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Alina,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manifest=483; missing=0; docs=121; scripts=107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483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data_processed/global_niche_count_rollup.csv</w:t>
      </w:r>
    </w:p>
    <w:p>
      <w:pPr>
        <w:pStyle w:val="ListBullet"/>
        <w:spacing w:after="80"/>
      </w:pPr>
      <w:r>
        <w:t>data_processed/global_whitespace_audience_synthesis.csv</w:t>
      </w:r>
    </w:p>
    <w:p>
      <w:pPr>
        <w:pStyle w:val="ListBullet"/>
        <w:spacing w:after="80"/>
      </w:pPr>
      <w:r>
        <w:t>data_processed/global_competitor_archetype_rollup.csv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