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2026-05-31T16:39:27.595Z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consumer-app рынок.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сырьевых source-строк, 36,694 уникализированных строк и 489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Alina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recent behavior, тогда MVP должен проверять не весь возможный продукт, а одну причинную петлю: personal meaning -&gt; tiny action -&gt; short reset -&gt; visible progress -&gt; tomorrow hook. Пока эта цепочка не пройдет walkthrough, интервью и прототипные сессии, все выводы остаются evidence-first гипотезами, а не финальным go.</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H1 и H3 уже имеют по 12 / 60 listing-only строк, но 0 / 25 успешных app-walkthrough строк, поэтому hidden-clone риск остается открытым. H2 имеет 28 / 40 заполненных paid-flow строк и 8 / 12 успешных строк, но тоже ниже минимального порога. H5 имеет 12 / 96 secondary VOC строк и 0 / 30 успешных interview строк: это контекст для рекрутинга, а не доказательство аудитории. H4 и H6 имеют по 16 / 80 prototype-readiness строк, но 0 / 32 успешных user-session строк.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2"/>
      </w:pPr>
      <w:r>
        <w:t>Управленческий rollup по validation evidence</w:t>
      </w:r>
    </w:p>
    <w:p>
      <w:r>
        <w:t>Чтобы не путать подготовленный research layer с реальной валидацией, ниже сведены типы evidence по каждому gate. Важная граница: listing-only, secondary VOC и prototype-readiness помогают запускать проверку, но не апгрейдят гипотезы без наблюдаемых walkthrough/interview/session результатов.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evidence сейчас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Rows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 gap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реальный validation step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listing-only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пройти первые 5 P0-приложений от listing до onboarding, first action, avatar/progress feedback и 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listing-only whitespace risk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тех же 5 P0-приложений классифицировать full_loop / adjacent_loop / weak_adjacency и action-&gt;avatar causality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paid-flow signoff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добрать product-matched paid-flow rows с чистой ценой, trial/plan depth и first-value/paywall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secondary VOC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провести первые P0-интервью ICP_A/ICP_D и заменить secondary VOC rows реальными participant answers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запустить prototype sessions и измерить comprehension, differentiation, meaning lift, trust/safety и return intent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prototype sessions обновить MVP loop и проверить, могут ли участники назвать продукт и причинность своими словами</w:t>
            </w:r>
          </w:p>
        </w:tc>
      </w:tr>
    </w:tbl>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Чтобы счетчики не терялись в приложениях, ниже отдельно показан rollup по каждой нише. Здесь важно различать three layers: all-source rows показывают ширину карты, direct app-store dedup показывает ближнее consumer-app поле, а top-100/manual targets показывают, какие конкуренты уже вынесены в более внимательный review. Эти числа не читаются как “столько прямых клонов Alina”; они показывают, какой объем данных стоит за каждым направлением. Глобальный dedup пакета остается 36,694: построчные niche dedup нельзя просто складывать как уникальных конкурентов,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raw</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Coverage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15,109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14,872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9,952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5,427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83.0%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24,446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16,875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19.0%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primary market</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p>
      <w:r>
        <w:t>Чтобы конкурентная карта не выглядела как случайный список приложений, ниже она сведена в archetype rollup. Это промежуточная классификация по App Store metadata/reviews/IAP и AI-assisted scorecards: она показывает, какие типы конкурентов создают риск для Alina, но не заменяет walkthrough. Особенно важно смотреть не только на количество приложений, а на close/direct count, behavior-tied progression и manual targets. Отдельная осторожность: AI companion / tarot-oracle labels требуют taxonomy cleanup перед сильными выводами, потому что source classifier может смешивать symbolic guidance и roleplay/companion продукты.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36"/>
        <w:gridCol w:w="936"/>
        <w:gridCol w:w="936"/>
        <w:gridCol w:w="936"/>
        <w:gridCol w:w="936"/>
        <w:gridCol w:w="936"/>
        <w:gridCol w:w="936"/>
        <w:gridCol w:w="936"/>
        <w:gridCol w:w="936"/>
        <w:gridCol w:w="936"/>
      </w:tblGrid>
      <w:tr>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Archetype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Market role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Close/direct</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Behavior-tied</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signal</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Battlecards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Taxonomy</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 examples</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 companion / identity benchmark</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(high_priority_close_substitute; score 29)</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astrology_guidance</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esoterics</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Sol - Inner Life &amp; Wellbeing (high_priority_close_substitute; score 30.1) / Pocket Insight Psychic Reading (high_priority_close_substitute; score 27.7) / Bodhi: Astrology &amp; Horoscope (high_priority_close_substitute; score 25.2) / Lunaria AI - Soulmate Drawing (close_substitute; score 21.4)</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avatar_identity_coaching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 / identity + 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19</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 (high_priority_close_substitute; score 34) / Daily Yoga: Yoga for Fitness® (high_priority_close_substitute; score 31.6) / Vida Health (high_priority_close_substitute; score 31) / Daily Burn: Workout Coach (high_priority_close_substitute; score 31)</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faith_devotional_habit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meaning / habit loop</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Shepherd: Spiritual Bible BFF (direct_reference_competitor; score 40.9) / Good Morning Messages &amp; Images (high_priority_close_substitute; score 27.6) / Testimonio (close_substitute; score 22.7) / Pactly: Social Habit Tracker (close_substitute; score 22)</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gamified_self_improvement</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coaching / habits / progression</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 (high_priority_close_substitute; score 29.7) / Habit Tracker - Statz (high_priority_close_substitute; score 28.6) / OtterLife: AI Health Tracker (high_priority_close_substitute; score 28) / Ricky Kalmon (high_priority_close_substitute; score 26.6)</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manifestation_tool</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manifestation / self-improvement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Miracle Morning Routine (high_priority_close_substitute; score 33.7) / EVOLVE: Transform Your Life (high_priority_close_substitute; score 31) / Rosebud: AI Journal &amp; Diary (high_priority_close_substitute; score 30.5) / Habit Tracker : Haby (high_priority_close_substitute; score 29.9)</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 / oracle / symbolic 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 (high_priority_close_substitute; score 29.1) / Kokoa AI: Roleplay AI Chat (high_priority_close_substitute; score 27.8) / Spark AI: Chat with Characters (high_priority_close_substitute; score 27) / LunaMate: AI Fanstasy Roleplay (high_priority_close_substitute; score 25.6)</w:t>
            </w:r>
          </w:p>
        </w:tc>
      </w:tr>
    </w:tbl>
    <w:p/>
    <w:p>
      <w:r>
        <w:t>Отдельно вынесена очередь taxonomy cleanup. Это не “исправленный датасет”, а список строк, где текущий classifier может смешивать AI companion, roleplay, tarot/oracle и habit-tracking продукты. Пока статус у всех строк queued_not_applied: эти замечания помогают читать competitor map критично, но не апгрейдят гипотезы без ручного подтверждения.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Rank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App</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Current</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Suggested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Status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LunaMate: AI Fanstasy 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Kokoa AI: Roleplay AI Chat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Spark AI: Chat with Characters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Intuitive Life Coaching Oracle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Guiding Light Oracle Cards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PALs by Tavus: AI Companions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gamified_self_improvement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habit tracking/routine/planning, чем на AI companion roleplay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raw=67525; dedup=36694; dedup50_status=open; source_refs=239857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 readability_audit_rows=7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manifest=489; missing=0; docs=123; scripts=109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started=6; H1_completed=12 / 60; H1_success=0 / 25; H3_completed=12 / 60; H3_success=0 / 25; H2_completed=28 / 40; H2_success=8 / 12; H5_completed=12 / 96; H5_success=0 / 30; H4_completed=16 / 80; H4_success=0 / 32; H6_completed=16 / 80; H6_success=0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ПРОВЕРКА СКЛАДНОСТИ И ЧИТАЕМОСТИ ОТЧЕТА</w:t>
      </w:r>
    </w:p>
    <w:p>
      <w:r>
        <w:t>Отдельно проверено, складно ли текущая версия читается как русский мировой отчет, а не как случайная выгрузка таблиц. Вывод такой: логика гипотез уже держится, счетчики по нишам видны, границы доказательств прописаны, но документ остается плотным рабочим evidence pack. Для внешней версии позже нужен облегченный executive narrative, а тяжелые таблицы лучше вынести в appendix.</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Порядок повествования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19 крупных разделов; expected_sequence_breaks=0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этот порядок при следующих расширениях и не вставлять новые тяжелые таблицы до объясняющего абзаца.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Видимость счетчиков по нишам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отчете есть таблицы Direct app/store dedup, Total dedup, Top-100 apps и niche rollup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счетчики в основном тексте; если добавлять новые источники, обновлять niche rollup до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таблиц</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перегружено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markdown_table_rows=186</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 следующей итерации сделать два режима: executive narrative в основном PDF и heavy appendix для широких таблиц, сохранив текущий полный отчет как evidence pack.</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Логичность competitor map</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 с оговоркой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competitor archetype rollup дополнен cleanup queue и прямой оговоркой queued_not_applied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ручного taxonomy pass обновить top100 scorecard или оставить queue как documented limitation, если правки не подтверждены.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Русский текст и технические EN-термины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понятно, но много терминов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technical_english_hits=309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внешней версии сделать отдельный glossary или заменить часть table headers на русские подписи; для рабочей версии оставить EN labels там, где они являются ID/полями данных.</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Границы доказательств</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тексте повторяются hold_validate, not final proof, source boundaries и запрет на claim upgrade без observed evidence</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убирать эти границы ради красоты; лучше вынести краткий executive summary поверх них, если нужен более легкий PDF.</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Ясность следующего шага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есть P0 очередь: competitor walkthrough -&gt; paid-flow -&gt; ICP interview -&gt; prototype session</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Следующим рабочим ходом закрывать первые P0 walkthrough и paid-flow tasks, а не расширять desk research бесконечно.</w:t>
            </w:r>
          </w:p>
        </w:tc>
      </w:tr>
    </w:tbl>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 taxonomy_cleanup_rows=8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489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SRC_08_SAMPLE_STYLE_REFERENCE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Логика гипотез и повествовательная форма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используется как style benchmark, не как market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sample_docx_paragraphs=645; benchmark_doc=docs/decision/alina-sample-style-benchmark-v1.md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Образец задает композицию и русский нарратив; он не переносит российский рынок, локальные цифры или старую продуктовую гипотезу в мировой отчет.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SRC_09_NICHE_COUNT_ROLLUP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source-count rollup, не как PMF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niche rows; file=data_processed/global_niche_count_rollup.csv</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Niche count rollup показывает масштаб source discovery по рынкам; он не доказывает спрос, WTP или отсутствие скрытого full-loop конкурента.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SRC_10_REPORT_READABILITY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Проверка складности и читаемости отчета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редакционным аудитом,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 readability audit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Readability audit оценивает форму и ясность текста; он не доказывает рыночные или продуктовые claims.</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output/pdf/alina-global-hypothesis-report-v1.pdf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data_processed/global_report_readability_audit.csv</w:t>
      </w:r>
    </w:p>
    <w:p>
      <w:pPr>
        <w:pStyle w:val="ListBullet"/>
        <w:spacing w:after="80"/>
      </w:pPr>
      <w:r>
        <w:t>data_processed/global_market_sizing_methodology.csv</w:t>
      </w:r>
    </w:p>
    <w:p>
      <w:pPr>
        <w:pStyle w:val="ListBullet"/>
        <w:spacing w:after="80"/>
      </w:pPr>
      <w:r>
        <w:t>data_processed/global_niche_count_rollup.csv</w:t>
      </w:r>
    </w:p>
    <w:p>
      <w:pPr>
        <w:pStyle w:val="ListBullet"/>
        <w:spacing w:after="80"/>
      </w:pPr>
      <w:r>
        <w:t>data_processed/global_whitespace_audience_synthesis.csv</w:t>
      </w:r>
    </w:p>
    <w:p>
      <w:pPr>
        <w:pStyle w:val="ListBullet"/>
        <w:spacing w:after="80"/>
      </w:pPr>
      <w:r>
        <w:t>data_processed/global_competitor_archetype_rollup.csv</w:t>
      </w:r>
    </w:p>
    <w:p>
      <w:pPr>
        <w:pStyle w:val="ListBullet"/>
        <w:spacing w:after="80"/>
      </w:pPr>
      <w:r>
        <w:t>data_processed/competitor_taxonomy_cleanup_queue.csv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