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2026-05-31T15:49:49.784Z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67,525 сырьевых source-строк, 36,694 уникализированных строк и 470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начато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не начато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начато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H1 и H3 уже имеют по 12 / 60 listing-only строк, но 0 / 25 успешных app-walkthrough строк, поэтому hidden-clone риск остается открытым. H2 имеет 28 / 40 заполненных paid-flow строк и 8 / 12 успешных строк, но тоже ниже минимального порога. H4, H5 и H6 пока без наблюдаемых capture rows.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28 строках; H2 gate имеет статус in_progress_insufficient_evidence, потому что нужны еще in-app paywall walkthrough и willingness-to-pay evidence.</w:t>
      </w:r>
    </w:p>
    <w:p>
      <w:pPr>
        <w:pStyle w:val="Heading1"/>
      </w:pPr>
      <w:r>
        <w:t>МЕТОДОЛОГИЯ TAM/SAM/SOM</w:t>
      </w:r>
    </w:p>
    <w:p>
      <w:r>
        <w:t>Рыночная модель Alina намеренно построена как диапазон, а не как одна “красивая” цифра. Она разделяет широкий TAM, serviceable SAM, confidence-weighted SAM и bottom-up stress-сценарии. Такой подход нужен, потому что Alina находится на пересечении нескольких adjacent-рынков, а не внутри одной готовой категории market report.</w:t>
      </w:r>
    </w:p>
    <w:p>
      <w:r>
        <w:t>Базовая формула top-down: TAM base умножается на serviceable share и дает SAM base. Затем SAM дополнительно умножается на confidence/directness weight, чтобы не смешивать прямые adjacent-рынки, широкие adjacent-рынки и benchmark-механику. Отдельно используется bottom-up stress: reachable users * activation rate * paid conversion * ARPPU. Этот слой нужен не для прогноза выручки, а для проверки, какой масштаб начинает иметь смысл при разных уровнях distribution, retention и willingness-to-pay.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Alina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benchmark retention/progression/monetization mechanics, не включать в прямой TAM Alina</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adjacent-рынок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Alina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claim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claim</w:t>
            </w:r>
          </w:p>
        </w:tc>
      </w:tr>
    </w:tbl>
    <w:p/>
    <w:p>
      <w:r>
        <w:t>Для H2 это означает жесткую границу: TAM/SAM/SOM доказывает, что рынок достаточно интересен для проверки, но не доказывает, что Alina заработает эти деньги. H2 можно усиливать только после product-matched paid-flow signoff, willingness-to-pay в ICP-интервью и paid-depth signal в прототипных сессиях.</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Reachable users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Activation</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conv</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ARPPU</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Annual revenue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 claim</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venture-relevant только если retention и paid depth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distribution, retention и WTP</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distribution, retention и WTP</w:t>
            </w:r>
          </w:p>
        </w:tc>
      </w:tr>
    </w:tbl>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full-loop candidates редки, это становится продуктовой возможностью только там, где есть люди с recent behavior, current workaround и языком боли. Поэтому следующий слой соединяет H3 и H5: по каждому мировому направлению видно, какой разрыв найден в конкурентной среде, какой ICP туда ложится и какой первый validation move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Full-loop rate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Whitespace read</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ICP fit</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validation move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compare-сегмент после P0 ICP и high-risk competitor walkthrough</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Alina</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progression/avatar/retention паттерны в прототип, но не использовать gaming как H3 proof</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bl>
    <w:p/>
    <w:p>
      <w:r>
        <w:t>Практический вывод: mindfulness и avatar/identity выглядят как самые чистые whitespace-поля по редкости full-loop candidates, но они все равно требуют walkthrough. Astrology/esoterics и coaching дают сильную аудиторию и деньги, но full-loop rate выше, поэтому claim о белом пятне там слабее. Gaming остается benchmark механик, а не прямой рынок.</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ОЧЕРЕДЬ ВАЛИДАЦИИ</w:t>
      </w:r>
    </w:p>
    <w:p>
      <w:r>
        <w:t>Чтобы следующий шаг был исполнимым, из общего command center выделена короткая P0-очередь. Она начинается с hidden-clone walkthrough конкурентов, затем добирает paid-flow evidence, потом проверяет ICP recent behavior и только после этого переводит прототип в scorecard. Такой порядок сохраняет причинность исследования: сначала убираем риск “это уже существует”, затем проверяем деньги, затем аудиторию, затем преимущество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сделать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bl>
    <w:p/>
    <w:p>
      <w:r>
        <w:t>Эта очередь не заменяет полный validation command center. Она нужна как первый рабочий слой для следующих 12-24 часов: если заполнить хотя бы первые manual walkthrough и paid-flow задачи, отчет начнет переходить от desk evidence к наблюдаемым доказательствам.</w:t>
      </w:r>
    </w:p>
    <w:p>
      <w:pPr>
        <w:pStyle w:val="Heading1"/>
      </w:pPr>
      <w:r>
        <w:t>ПОКРЫТИЕ ИСХОДНОЙ ЦЕЛИ ДОКАЗАТЕЛЬСТВАМИ</w:t>
      </w:r>
    </w:p>
    <w:p>
      <w:r>
        <w:t>Чтобы не смешивать “сделан исследовательский слой” и “доказана гипотеза”, ниже показано покрытие исходной задачи по частям. Это контрольная карта текущего состояния: где уже есть локальные файлы, методология и отчет, а где требуются observed rows.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Часть цели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Текущее 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Осталось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ход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GOAL_01_PLAN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Зафиксировать большой план задач и execution path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рабочая система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 next-validation задач; 75 command-center задач; 5 runway шагов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 есть, но требует обновления после observed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после каждой ручной проверки пересобирать backlog и gates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GOAL_02_SOURCE_SCALE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Расширить конкурентов и источники по 5 рынкам до большого масштаба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по raw 50k и dedup 30k+, dedup 50k остается aspiration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raw=67525; dedup=36694; dedup50_status=open; source_refs=239842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писать, что 50k dedup уникальных конкурентов доказаны; доказаны raw 50k и dedup 30k-40k band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расширять source-native lanes без тяжелого поискового crawl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GOAL_03_FIVE_MARKETS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Покрыть 5 направлений: mindfulness, coaching, astrology/esoterics, avatar/identity, 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5 whitespace/audience rows; 6 market methodology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остается benchmark-only до direct audience overlap proof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gaming вне прямого TAM и H3 proof</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GOAL_04_TAM_SAM_SOM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Подготовить рыночную методологию TAM/SAM/SOM и stress-сценарии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range-based methodology, не финальный revenue proof</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methodology rows; 6 TAM/SAM/SOM rows; 6 stress scenarios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 не закрыт: paid-flow signoff ниже порога, WTP и paid-depth prototype signals еще нужны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capture rows и WTP вопросы из P0 backlog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GOAL_05_WHITESPACE_AUDIENCE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whitespace и аудиторные матрицы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directional synthesis, validation остается открытой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synthesis rows; 6 whitespace rows; 6 ICP rows; 20492 audience signal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H3/H5 нельзя усиливать без manual walkthrough и recent-behavior interviews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исполнить первые 5 walkthrough и P0 ICP interview rows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GOAL_06_REPORT_RU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Собрать последовательный русский мировой отчет и PDF/DOCX</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draft, не финальная validated версия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report md=yes; pdf=yes; docx=yes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финальная версия должна обновиться после observed validation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capture rows пересобрать отчет и изменить claim language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GOAL_07_VERSIONING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локально, трассировать источники и версионировать через GitHub</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активно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manifest=470; missing=0; docs=115; scripts=102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 надо обновлять после каждого нового слоя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пересобирать manifest и делать commit/push после изменений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GOAL_08_VALIDATION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Критически мыслить и не закрывать гипотезы без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открыто, capture-ready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started=3; H1_completed=12 / 60; H1_success=0 / 25; H3_completed=12 / 60; H3_success=0 / 25; H2_completed=28 / 40; H2_success=8 / 12; H4/H5/H6 observed rows still 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цель нельзя считать завершенной, пока observed validation gates не закрыты или не понижены по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исполнить P0 validation backlog и обновить gate statuses</w:t>
            </w:r>
          </w:p>
        </w:tc>
      </w:tr>
    </w:tbl>
    <w:p/>
    <w:p>
      <w:r>
        <w:t>Главный вывод по этой карте: пакет уже масштабный и трассируемый, но не финально валидированный. Это правильное состояние для evidence-first ресерча: сильные desk/source слои готовы, а product/market claims остаются в hold_validate до ручных walkthrough, интервью, прототипа и WTP.</w:t>
      </w:r>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67525 cross-source raw rows; 36694 cross-source dedup rows; 39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470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output/pdf/alina-global-hypothesis-report-v1.pdf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data_processed/global_hypothesis_gate_snapshot.csv</w:t>
      </w:r>
    </w:p>
    <w:p>
      <w:pPr>
        <w:pStyle w:val="ListBullet"/>
        <w:spacing w:after="80"/>
      </w:pPr>
      <w:r>
        <w:t>data_processed/global_next_validation_backlog.csv</w:t>
      </w:r>
    </w:p>
    <w:p>
      <w:pPr>
        <w:pStyle w:val="ListBullet"/>
        <w:spacing w:after="80"/>
      </w:pPr>
      <w:r>
        <w:t>data_processed/global_market_sizing_methodology.csv</w:t>
      </w:r>
    </w:p>
    <w:p>
      <w:pPr>
        <w:pStyle w:val="ListBullet"/>
        <w:spacing w:after="80"/>
      </w:pPr>
      <w:r>
        <w:t>data_processed/global_whitespace_audience_synthesis.csv</w:t>
      </w:r>
    </w:p>
    <w:p>
      <w:pPr>
        <w:pStyle w:val="ListBullet"/>
        <w:spacing w:after="80"/>
      </w:pPr>
      <w:r>
        <w:t>data_processed/global_goal_evidence_coverage.csv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