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(95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95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95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exam.verify.general,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317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317 rows — the live count reconciles exactly with the §22.3 matrix, which is generated from the same seeder (95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7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ClearanceController.php:53-60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still does not distinguish applicant types: AdmissionPolicy::approvalBlockers asks only whether the course sets requiresEntranceExam, so a transferee applying to an examination-required program must pass the general examination like a first-year. The single exemption the build carries is EvaluationController::retentionBlocker returning null for an enrollment issued by a shift request — a program change inside SEAIT, not an arrival from another 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