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AdmissionController.php:121</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does not do is rewrite history: the 29 enrollments that already credit office4_head, a Guidance account with no evaluation.sign, keep doing so until the owner rules on amending stored records, and rehearsing the chain on a copy showed exactly that split — two rows written by the changed pipeline landed on dept.ctic, the CTIC desk its BSIT students belong to, and the older rows stayed where they were.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is a decision with a measured reason rather than a gap: office4_head holds the 29 enrollments above, 15 of them in progress across three colleges, so bounding it would strand papers no desk could then close, and office7_head with the seeded instructors stay unbounded because §7 of the walkthrough walks two colleges and a third’s applicant in one login.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WorkflowService.php:258-262</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:302-325).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