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452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holds 9 schedules and 18 meetings on live `ems` as measured 2026-10-19, so the conflict check (§10.4) does run on seeded data — and from this pass it refuses an hour the officer, the room, or the block itself has already taken inside one term, with no collision present in that dataset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410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P-16)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paper question rather than a code one. The enrollment form PDF carries no Student ID, program, year level, school year or semester anywhere in its body — read off the rendered file on 2026-10-21, where not one identity token appears although the record behind it holds all four. The desk reaches it as a PDF only, which is a decision rather than a gap, because the blade is the paper — and the paper it must match has never been supplied: §5 of the print-fidelity comparison and item 10 of the Registrar’s 2026-10-11 decision sheet both still record the blank enrollment form as not provided.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who the student is, which program or term the enrollment belongs to, or which school year it was issued in — four identity facts the record holds and the form omits, so nothing on the page ties it to the file it belongs 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Open, and the school owns the answer, not the code. P-7 closed by putting a value in every letterhead row, and the name row is the one this repository disagrees with itself about: the value the settings table holds and the fallback each of the six print views types into its own call both read “Southeast Asian Institute of Technology”, while SEAIT_Official_Information.md §1 records the Official Name as “South East Asian Institute of Technology, Inc.” — a space inside the word and the corporate suffix. Measured on the rendered certificate 2026-10-21: the paper carries the one-word form, while the login screen carries the sheet’s, so the screen and the document name the school differently.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SettingsSeeder.php:28 seeds the one-word form and each of the six print views passes it as its own fallback (clearance-slip.blade.php:31); PrintLayout.jsx:36 and PrintCertificate.jsx:74 hard-code it; GuestLayout.jsx:50 and GuestLayout.jsx:68, this document’s own title line and four Documentation markdown files use the sheet’s spelling. No test pins either: tests/Feature/Print/PrintTemplateSelfContainmentTest.php requires the value to be present and the address and phone to be traceable to the sheet, and deliberately does not assert the name, because the name is what is in question.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 the seal, the logo, the street and the telephone all belong to one institution — but every document the school issues spells its name other than its own record in this repository does. Nothing in code decides it: the line comes from a settings row, so a ruling is one field on Admin → User Management → Settings. The seeder’s literal and the six fallbacks must then be changed to match, because a fresh install prints the seeder and not the edit. The scans that could settle it are the school’s paper, and Documentation/Images is gitignored and absent from this box, so this is recorded as a question rather than answered with a guess.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“Southeast Asian Institute of Technology” — the table's title-case spelling, not the upper-case literal the call passes as its fallback — and the two rows beside it answer with the campus address and the Registrar’s published landline, so no line of the letterhead falls through to the default typed into the call.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19 guards whose dash sits on a line this file cannot join, 340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now names an actor in 8 of the 57 register rows and names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P-16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Three are settled: the fee is Reference Data’s alone (ruling 8), office 8 is retired in data (ruling 12), and the subject load has its own template, so the act this row waited for was taken and built. The fourth is open and is not a code decision at all: which spelling of the institution’s name the paper carries (P-16).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on 2026-10-21, by extracting the text of the set `php artisan ems:print-fidelity` renders from live `ems` (storage/app/scratch/lane62-print-paper-probe.php). The slip holds up: its face carries its own subject’s School ID (DEMO-2026-018 in today’s set), as do the certificate (DEMO-2026-017) and the subject load. The enrollment form does not — no ID token of any kind appears in its text, and no school year either, although the record behind that paper holds both. So the half of this sentence about the form was written without reading it, and P-2 remains open.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 The six rows below are that split as the items were opened; 2026-10-21 re-read the column they count, and of the 57 register rows 8 still name an actor while the other 49 name none — 46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Three print findings sit outside this table because it counts only 28.2 and 28.3: P-7, whose letterhead printed no address and no phone until 2026-10-21; P-16, the spelling of the name those rows now print, which is the school’s to rule; and P-2, which now states its verdict: the enrollment form carries no student identity, program, year level or school year on the paper at all, and is waiting on the blank physical form the Registrar has not yet supplied.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so §28.3 holds 46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P-16</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is what the school still has to state, and P-16 carries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and P-16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One institutional question is still owed here, and it is a name rather than a rule: which spelling of the institution’s name the paper carries (P-16).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two are acts rather than answers — the program and term the enrollment form cannot print (P-2, which also waits on the Registrar to let the blank form reach this repository), and the proxy an operator must name before HSTS means anything (G-13) — and the third is the one place left where only the school can settle what the paper says (P-16). The two blank letterhead rows this sentence named until today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