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as completed with no validator, which no desk action could produce either, and that is left for the owner rather than quietly repaired, because un-signing a box rewrites an audit trail.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seven: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Preflight</w:t>
      </w:r>
      <w:r>
        <w:t xml:space="preserve">. The last three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ten rules over idrequests, workflowsteps, enrollmentworkflow, enrollments, notifications and documentprintlog — a validated request with no face photo, a box completed with no officer on it, a request still open under a box its own office already signed, a notice addressed to a class that does not exist — each counted, the impossible ones failing the run (AuditRecordStates.php:44-138, the signed-box rule at :162-169), while printed papers attributable to nobody are noted rather than failed, because that is §28 G-9’s open decision and a report tool must not make it.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