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AdmissionController.php:590.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RegistrarController.php:172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AdmissionController.php:531-600 — the seat guard at :545, the create at :573).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RegistrarController.php:151-192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AdmissionController.php:554-559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RegistrarController.php:334-348 , the reason rule at :339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RegistrarController.php:187-207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AdmissionController.php:494-522</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AdmissionController.php:531-600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(AdmissionController.php:590).</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AdmissionController.php:591 ),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RegistrarController.php:274-277 , written at :297 )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AdmissionController.php:593</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RegistrarController.php:172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RegistrarController.php:197-199</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AdmissionController.php:586 )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RegistrarController.php:167-184</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RegistrarController.php:162-174</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RegistrarController.php:237-252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RegistrarController.php:237-296</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RegistrarController.php:377-448</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RegistrarController.php:367 , :389 , :420 (the three desk pages) and :444 , :459 , :471 , :497 (the generated PDFs), ClearanceController.php:383 and :411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AdmissionController.php:531-600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RegistrarController.php:367 ) — the download route answers the same screen with the PDF ( :444 )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RegistrarController.php:389 ); downloadClassCard() serves one card ( :471 )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RegistrarController.php:420 ); downloadSubjectLoad() serves the PDF ( :497 )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ClearanceController.php:401 ); downloadSlip() serves the PDF ( :411 )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RegistrarController.php:379 , :412 , :435 ), the clearance slip ( ClearanceController.php:401 )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ClearanceController.php:383-406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(ClearanceController.php:389,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ClearanceController.php:331 ),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ClearanceController.php:374</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ClearanceController.php:389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RegistrarController.php:287</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RegistrarController.php:162-173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RegistrarController.php:233-236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ClearanceController.php:364</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ClearanceController.php:331-379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RegistrarController.php:274-277 , written at :297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RegistrarController.php:367 , :389 , :420 , ClearanceController.php:383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ClearanceController.php:331-358 ).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RegistrarController.php:172 ),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RegistrarController.php:305-327</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ClearanceController.php:361-379</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AdmissionController.php:573-599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RegistrarController.php:162-173</w:t>
            </w:r>
            <w:r>
              <w:rPr>
                <w:sz w:val="14"/>
                <w:szCs w:val="14"/>
              </w:rPr>
              <w:t xml:space="preserve">, </w:t>
            </w:r>
            <w:r>
              <w:rPr>
                <w:rFonts w:ascii="Consolas" w:hAnsi="Consolas" w:cs="Consolas"/>
                <w:sz w:val="14"/>
                <w:szCs w:val="14"/>
              </w:rPr>
              <w:t xml:space="preserve">:157</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RegistrarController.php:305-327</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RegistrarController.php:162-173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G-43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**No mutant harness has been run over these five cases yet** — they are pinned, not proved able to fail, and the register says so.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Measured by reading rather than recalled: only ONE surface re-declares the map, not all of them — the claim this sweep was handed said more, and the files disproved it. The fix is to read the desk’s own tone function rather than keep a second answer to one word.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two carry no pagination at all.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Prompt §14 asks for density controls — sorting, filtering, search, pagination, row actions. Filtering, search and row actions are built and instrumented (lane 46 owns the filter contract); sorting exists nowhere, which is a table-wide gap rather than a per-screen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and the family is measured not recalled: `admissions.evaluatedDate`, `studentrequirementsubmissions.submittedDate`, `studentassessments.assessmentDate`, `clearanceapprovals.approvalDate` and `idrequests.requestDate` are all `date` on the server and all fed a Carbon. The two admission stamps moved to `SchoolTime::today()` with this batch and the day case freezes the clock so it cannot pass while both clocks agree. Three writers remain. Lane 50’s PHP half answers 0 over them: it matches `now()-&gt;toDateString()` and `whereDate(…)`, shapes a `date`-cast write is not — so the instrument for this class is not built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Admission\AdmissionController.php:551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