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AdmissionController.php:590.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RegistrarController.php:172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AdmissionController.php:531-600 — the seat guard at :545, the create at :573).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RegistrarController.php:151-192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AdmissionController.php:554-559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RegistrarController.php:334-348 , the reason rule at :339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RegistrarController.php:187-207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(AdmissionController.php:111-292).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AdmissionController.php:143</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AdmissionController.php:494-522</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AdmissionController.php:127</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(AdmissionController.php:305-322).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AdmissionController.php:531-600</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(AdmissionController.php:590).</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AdmissionController.php:591 ),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RegistrarController.php:274-277 , written at :297 )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AdmissionController.php:593</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RegistrarController.php:172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RegistrarController.php:197-199</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AdmissionController.php:586 )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RegistrarController.php:167-184</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RegistrarController.php:162-174</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RegistrarController.php:237-252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RegistrarController.php:237-296</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RegistrarController.php:377-448</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RegistrarController.php:367 , :389 , :420 (the three desk pages) and :444 , :459 , :471 , :497 (the generated PDFs), ClearanceController.php:383 and :411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AdmissionController.php:531-600</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AdmissionController.php:305-322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AdmissionController.php:136</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RegistrarController.php:367 ) — the download route answers the same screen with the PDF ( :444 )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RegistrarController.php:389 ); downloadClassCard() serves one card ( :471 )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RegistrarController.php:420 ); downloadSubjectLoad() serves the PDF ( :497 )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ClearanceController.php:401 ); downloadSlip() serves the PDF ( :411 )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RegistrarController.php:379 , :412 , :435 ), the clearance slip ( ClearanceController.php:401 )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ClearanceController.php:383-406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(ClearanceController.php:389,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ClearanceController.php:331 ),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ClearanceController.php:374</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ClearanceController.php:389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RegistrarController.php:287</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RegistrarController.php:162-173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RegistrarController.php:233-236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ClearanceController.php:364</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ClearanceController.php:331-379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RegistrarController.php:274-277 , written at :297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RegistrarController.php:367 , :389 , :420 , ClearanceController.php:383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ClearanceController.php:331-358 ).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RegistrarController.php:172 ),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ClearanceController.php:331-379 ).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RegistrarController.php:305-327</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ClearanceController.php:361-379</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RegistrarController.php:172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AdmissionController.php:573-599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RegistrarController.php:162-173</w:t>
            </w:r>
            <w:r>
              <w:rPr>
                <w:sz w:val="14"/>
                <w:szCs w:val="14"/>
              </w:rPr>
              <w:t xml:space="preserve">, </w:t>
            </w:r>
            <w:r>
              <w:rPr>
                <w:rFonts w:ascii="Consolas" w:hAnsi="Consolas" w:cs="Consolas"/>
                <w:sz w:val="14"/>
                <w:szCs w:val="14"/>
              </w:rPr>
              <w:t xml:space="preserve">:157</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RegistrarController.php:305-327</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AssessmentController.php:424-430 )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RegistrarController.php:162-173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G-43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four planted defects — requiredness dropped, the ten-character floor dropped, the requirement re-pointed at an approval, and the desk’s own word not persisted — each killing its own named case, with a green control before and after. The cross-office 403 case belongs to the policy, so no leg here would notice a policy widening.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two carry no pagination at all.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Prompt §14 asks for density controls — sorting, filtering, search, pagination, row actions. Filtering, search and row actions are built and instrumented (lane 46 owns the filter contract); sorting exists nowhere, which is a table-wide gap rather than a per-screen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and the family is measured not recalled: `admissions.evaluatedDate`, `studentrequirementsubmissions.submittedDate`, `studentassessments.assessmentDate`, `clearanceapprovals.approvalDate` and `idrequests.requestDate` are all `date` on the server and all fed a Carbon. The two admission stamps moved to `SchoolTime::today()` with this batch and the day case freezes the clock so it cannot pass while both clocks agree. Three writers remain. Lane 50’s PHP half answers 0 over them: it matches `now()-&gt;toDateString()` and `whereDate(…)`, shapes a `date`-cast write is not — so the instrument for this class is not built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ClearanceController.php:331-379 ).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 where the proxy instruction lives; ems:preflight now answers whether the scheme can be decided, and since the same date the value it reads is the TRUSTED_PROXIES env var)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Admission\AdmissionController.php:551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Admission\AdmissionController.php:233-234</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