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all three now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AssessmentController.php:425-431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AssessmentController.php:120-184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ClearanceController.php:267-281</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AssessmentController.php:130-142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AssessmentController.php:124-127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:433-444</w:t>
      </w:r>
      <w:r>
        <w:t xml:space="preserve">), and the abandoned auto-transition at </w:t>
      </w:r>
      <w:r>
        <w:rPr>
          <w:rFonts w:ascii="Consolas" w:hAnsi="Consolas" w:cs="Consolas"/>
          <w:sz w:val="18"/>
          <w:szCs w:val="18"/>
        </w:rPr>
        <w:t xml:space="preserve">:181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AssessmentController.php:46,61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AssessmentController.php:130-142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AssessmentController.php:278-284</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AssessmentController.php:130-142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AssessmentController.php:153-159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ClearanceController.php:384 and :412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AssessmentController.php:130-142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AssessmentController.php:233-238 and :161-169,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ClearanceController.php:402 ); downloadSlip() serves the PDF ( :412 )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ClearanceController.php:402 )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ClearanceController.php:384-407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(ClearanceController.php:390,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ClearanceController.php:332 ),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ClearanceController.php:375</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ClearanceController.php:390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ClearanceController.php:233</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ClearanceController.php:365</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ClearanceController.php:332-380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AssessmentController.php:190-281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ClearanceController.php:384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ClearanceController.php:229,320-372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ClearanceController.php:332-359 ).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ClearanceController.php:362-380</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ClearanceController.php:174-207 ).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AssessmentController.php:166-170</w:t>
            </w:r>
            <w:r>
              <w:rPr>
                <w:sz w:val="14"/>
                <w:szCs w:val="14"/>
              </w:rPr>
              <w:t xml:space="preserve">, </w:t>
            </w:r>
            <w:r>
              <w:rPr>
                <w:rFonts w:ascii="Consolas" w:hAnsi="Consolas" w:cs="Consolas"/>
                <w:sz w:val="14"/>
                <w:szCs w:val="14"/>
              </w:rPr>
              <w:t xml:space="preserve">:140-149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AssessmentController.php:257-273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AssessmentController.php:228-260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AssessmentController.php:425-431 )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AssessmentController.php:221-230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AssessmentController.php:286-290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ClearanceController.php:174-207 ),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(AssessmentController.php:257-273)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app/Http/Controllers/Assessment/AssessmentController.php:163-174;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AssessmentController.php:130-142. A grant reduces the bill at AssessmentController.php:233-238, where `coverageType` decides between the remaining balance and `totalAssessedAmount` times `coveragePercent` over 100, and the result is stored at AssessmentController.php:161-169;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AssessmentController.php:233-238 and :161-169, and §14’s pointer to :153-159.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and on the student directory — 33 of the 36 pages that use the shared table still offer no order. The screen half of the control has one definition now: the three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two of those twenty-nine queues sort on the server today. What remains is mechanical now rather than a design question: a sortable set per screen, the handler’s allow-list beside it, and the case that pins each.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ClearanceController.php:229-237</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