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7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Measured live on 2026-10-06: the gate asks print.enrollmentForm and that the record is enrolled, and — exactly as print.certificate already does — it does not ask which office the requester runs, so a head of any office reaches it. The reach is inherited rather than new, and X-4 in §28.2 now names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One generalist reach ruling 7 did not take is named here rather than glossed: the four Registrar print rights — certificate, class card, subject load and, since 2026-10-06, the enrollment form — stay on OfficeHead, and no policy asks which office the requester runs, so a head anywhere in the building prints the Registrar’s papers. Measured live the same day (office11_head reached the enrollment-form route with a 200). Whether printing should be office-scoped is one decision covering all four documents, and it is the owner’s, not a per-paper fix.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