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AdmissionController.php:121</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does not do is rewrite history: the 29 enrollments that already credit office4_head, a Guidance account with no evaluation.sign, keep doing so until the owner rules on amending stored records, and rehearsing the chain on a copy showed exactly that split — two rows written by the changed pipeline landed on dept.ctic, the CTIC desk its BSIT students belong to, and the older rows stayed where they were.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is a decision with a measured reason rather than a gap: office4_head holds the 29 enrollments above, 15 of them in progress across three colleges, so bounding it would strand papers no desk could then close, and office7_head with the seeded instructors stay unbounded because §7 of the walkthrough walks two colleges and a third’s applicant in one login.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w:t>
      </w:r>
    </w:p>
    <w:p>
      <w:pPr>
        <w:pStyle w:val="ListParagraph"/>
        <w:numPr>
          <w:ilvl w:val="0"/>
          <w:numId w:val="1"/>
        </w:numPr>
        <w:spacing w:after="70"/>
      </w:pPr>
      <w:r>
        <w:t xml:space="preserve">Filing refuses three things (ShiftRequestController::store(), ShiftRequestController.php:45):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:302-325).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