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2026-10-16–18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stands at 771 tests and 5191 assertions, and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reads 0 across all seventeen rules.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(seventeen since 2026-10-20).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AccountingController.php:221-229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AccountingController.php:198-201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AccountingController.php:198-201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AssessmentController.php:139-144</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AccountingController.php:197-216</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AccountingController.php:227 when a payment settles the account, and again at :274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seventeen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(AuditRecordStates.php:47-183, the two box rules at :295-317),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AssessmentController.php:139-144</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holds 9 schedules and 18 meetings on live `ems` as measured 2026-10-19, so the conflict check (§10.4) does run on seeded data — and from this pass it refuses an hour the officer, the room, or the block itself has already taken inside one term, with no collision present in that dataset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PrintLayout.jsx:30</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AccountingController.php:176-209</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AccountingController.php:340 )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AccountingController.php:180-207</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AccountingController.php:244-281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AccountingController.php:244-281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AccountingController.php:201-213 ).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AccountingController.php:244-281 ),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AccountingController.php:207-213 ),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18 guards whose dash sits on a line this file cannot join, 355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app/Http/Controllers/Accounting/AccountingController.php:292;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app/Console/Commands/AuditRecordStates.php:325-330;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app/Http/Controllers/Accounting/AccountingController.php:172-230; app/Services/EnrollmentStateMachine.php:59-92; app/Console/Commands/AuditRecordStates.php:340-349;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(seventeen since 2026-10-20).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AccountingController.php:244-281 ),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AccountingController.php:207-213 ),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so §28.3 holds 42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