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EvaluationController.php:603-617;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:466-490</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paid enrollment back to Department Evaluation with a mandatory returnReason ( RegistrarController.php:288-312,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:236-257 (curriculum pinning), :586-605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EvaluationController.php:603-617 ),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both still labelled provisional,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clearance-slip.blade.php:80-81</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BlockingController.php:495-507 )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:273</w:t>
            </w:r>
            <w:r>
              <w:rPr>
                <w:sz w:val="14"/>
                <w:szCs w:val="14"/>
              </w:rPr>
              <w:t xml:space="preserve">); the workflow row and its boxes are created here and box 1 signed — not at enrollment creation (</w:t>
            </w:r>
            <w:r>
              <w:rPr>
                <w:rFonts w:ascii="Consolas" w:hAnsi="Consolas" w:cs="Consolas"/>
                <w:sz w:val="14"/>
                <w:szCs w:val="14"/>
              </w:rPr>
              <w:t xml:space="preserve">:466-485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:259-293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EvaluationController.php:532-535</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EvaluationController.php:603-617 ),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