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ten questions left for the Registrar to answer because they concern the paper, not the code — among them that our class card prints the day twice, that the subject load our system signs (Student, Class Adviser, Registrar) is signed by different people on the physical form (Evaluated by, Processed by), and that the block schedule is a meeting list where the wall chart is a weekly grid.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is open and stated as open: a successful attach shows no confirmation card, while a plain action on the very same screen does show “Completed / Mismatch recorded on the ID request.” The flash reaches the desk for a JSON post and not for the multipart one; the photo itself stores and displays correctly, so this is a missing confirmation rather than a failed save, and it reproduced before the preview existed, so it did not arrive with this batch.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(bootstrap/app.php:124-137).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AdmissionController.php:370-416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AssessmentController.php:409-429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WorkflowService.php:109-185 , the office test at :134</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AdmissionController.php:333-349</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AdmissionController.php:370-416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AdmissionController.php:401 ),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AdmissionController.php:396 )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:135-155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:178-197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(IDController.php:209-220).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AdmissionController.php:370-416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four: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WorkflowService.php:109-185 , the office test at :134</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WorkflowService.php:109-185 , the office test at :134</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15 of 15 staff accounts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315 rows — the live count reconciles exactly with the §22.3 matrix, which is generated from the same seeder (94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WorkflowService.php:109-185</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 , the office test at :134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bootstrap/app.php:46-59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bootstrap/app.php:46-59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AdmissionController.php:383-416</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bootstrap/app.php:46-59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AssessmentController.php:409-429</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(AssessmentController.php:245)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Admission\AdmissionController.php:383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