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ten questions left for the Registrar to answer because they concern the paper, not the code — among them that our class card prints the day twice, that the subject load our system signs (Student, Class Adviser, Registrar) is signed by different people on the physical form (Evaluated by, Processed by), and that the block schedule is a meeting list where the wall chart is a weekly grid.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AdmissionController.php:364-410 — the seat guard at :364, the create at :377).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WorkflowService.php:109-185 , the office test at :134</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AdmissionController.php:364-410</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AdmissionController.php:395 ),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AdmissionController.php:390 )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WorkflowService.php:44-45</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(IDController.php:202-213).</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PrintService.php:105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AdmissionController.php:364-410</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four: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WorkflowService.php:109-185 , the office test at :134</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WorkflowService.php:109-185 , the office test at :134</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315 rows — the live count reconciles exactly with the §22.3 matrix, which is generated from the same seeder (94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(PrintService.php:311)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PrintService.php:186 )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PrintService.php:193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PrintService.php:208 )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PrintService.php:258 )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PrintService.php:266 )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PrintService.php:282 )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PrintService.php:58 )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PrintService.php:66 ),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PrintService.php:290 )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PrintService.php:303 ),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PrintService.php:266-275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PrintService.php:105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PrintService.php:22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PrintService.php:105-154 )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(PrintService.php:303).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PrintService.php:58-330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PrintService.php:115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WorkflowService.php:109-185</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 , the office test at :134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PrintService.php:105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WorkflowService.php:44-45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AdmissionController.php:377-410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Admission\AdmissionController.php:377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