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(IDController.php:162-188,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`AccountingController.php:212-270`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AccountingController.php:276-285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the wired pages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 A fourth table joined the mechanism the same day, and it produced the other finding of the pair: the campus clearance queue sorts now, and opening the running page to prove that showed its Academic Term column and its period dropdown printing the literal word undefined — five pages had been building an academic-year label from yearStart, yearEnd and year, names `academicyears` never held, with no accessor and no append behind them. Nine sites read `yearLabel` now, and `tests/Feature/Clearance/AcademicYearLabelSurfaceTest.php` forbids the class by deriving the legal names from the migrated table and from the model itself, resolving page-local aliases so a read cannot hide behind a local. Where the same field carried a fallback to the empty string a desk simply never saw which academic year a term belonged to, which is the case for reading the JSX in a test: no gate between PHPStan and the Vite build can see a name the schema does not have. A fifth table joined the same mechanism the next day and the batch carried two findings of its own: the fee-sheet queue reaches the student through two joins, so the helper grew one private method that reads either a single join or a list of them and qualified the column with the hop that holds it (eight planted defects, each killed by the case that names it — two of them inside the helper); and CI’s MySQL job refused a case this box had passed, because an ENUM sorts by its declaration index on the school’s server and by the stored word in the SQLite suite, so the clearance status case had been asserting one database’s order as though it were the code’s. It derives the expected sequence from the connection now and was re-picked so four orders give four sequences. The same wiring aged one of the filter contract’s own harness anchors — a leg reporting MUTANT DID NOT APPLY is the harness’s age, not a surviving defect — and re-cutting it exposed that the tool’s filters reader could not see a multi-line array or an only([...]) + […] merge, so NO-RETURN had gone unsatisfied on every screen the sort batch had just wired; the value is walked by its own brackets to the first comma at depth zero, a page that spreads sortParams(…) now contributes its keys read from the helper’s own return, and the harness answers its legs on both shapes. The two class totals in this row are read from the junit of the whole-suite run that produced them — AssessmentQueueSortTest 9 cases / 35 assertions, and ClearanceQueueSortTest re-taken at 9 / 32 after its status case stopped remembering one database’s order — because a figure beside a class name is a property of a run, not of the code. A sixth table joined the same mechanism the same day — the cashier’s collection queue — and it is the first of the sortable screens that carries a tab, a search and an order at once, so the echo contract now has three keys to return and the new case pins all three: AccountingQueueSortTest answers 10 cases and 38 assertions in the run whose junit this row read. The two money columns tell each other apart on purpose, because the fixture was built so that the billed amount and the balance owed are different sequences, and the derived ‘Covered By’ column is absent from the sortable set rather than offered and ignored. Three of its citations were re-taken by hand rather than by the shift tool, because the numbers 243 and 290 are also the tails of another file’s ranges — Preflight.php lines 86 to 104, whose application-key rule runs from 228 to 243, and ClearanceController.php:290-304 — and a mapped number that is not a unique token rewrites a true pointer into a different file.</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Clearance/Index.jsx:526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RegistrarController.php:195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AssessmentController.php:466-472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AssessmentController.php:161-225</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AccountingController.php:277-285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AccountingController.php:254-257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RegistrarController.php:174-215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RegistrarController.php:357-371 , the reason rule at :362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RegistrarController.php:210-230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AccountingController.php:254-257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RegistrarController.php:297-300 , written at :320 )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ClearanceController.php:290-304</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RegistrarController.php:195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AssessmentController.php:171-183</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RegistrarController.php:220-222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AssessmentController.php:165-168</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:474-485</w:t>
      </w:r>
      <w:r>
        <w:t xml:space="preserve">), and the abandoned auto-transition at </w:t>
      </w:r>
      <w:r>
        <w:rPr>
          <w:rFonts w:ascii="Consolas" w:hAnsi="Consolas" w:cs="Consolas"/>
          <w:sz w:val="18"/>
          <w:szCs w:val="18"/>
        </w:rPr>
        <w:t xml:space="preserve">:222</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AssessmentController.php:47,61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AssessmentController.php:171-183</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AccountingController.php:220-223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AssessmentController.php:319-325</w:t>
            </w:r>
            <w:r>
              <w:rPr>
                <w:sz w:val="18"/>
                <w:szCs w:val="18"/>
              </w:rPr>
              <w:t xml:space="preserve">, </w:t>
            </w:r>
            <w:r>
              <w:rPr>
                <w:rFonts w:ascii="Consolas" w:hAnsi="Consolas" w:cs="Consolas"/>
                <w:sz w:val="18"/>
                <w:szCs w:val="18"/>
              </w:rPr>
              <w:t xml:space="preserve">RegistrarController.php:190-207</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AssessmentController.php:171-183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AssessmentController.php:194-200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AccountingController.php:253-272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AccountingController.php:212-230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AccountingController.php:276-285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AccountingController.php:391-435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AccountingController.php:341-370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RegistrarController.php:185-197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AccountingController.php:283 when a payment settles the account, and again at :330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RegistrarController.php:260-275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RegistrarController.php:260-319</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RegistrarController.php:400-471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ClinicController.php:81-115</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ClinicController.php:122-137</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IDController.php:162-188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IDController.php:193-223</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IDController.php:246-265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(IDController.php:277-288).</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(ClinicController.php:112).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(IDController.php:170, :182).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RegistrarController.php:390 , :412 , :443 (the three desk pages) and :467 , :482 , :494 , :520 (the generated PDFs), ClearanceController.php:407 and :435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AssessmentController.php:171-183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AssessmentController.php:274-279 and :202-210,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AccountingController.php:220-223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RegistrarController.php:390 ) — the download route answers the same screen with the PDF ( :467 )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RegistrarController.php:412 ); downloadClassCard() serves one card ( :494 )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RegistrarController.php:443 ); downloadSubjectLoad() serves the PDF ( :520 )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ClearanceController.php:425 ); downloadSlip() serves the PDF ( :435 )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RegistrarController.php:402 , :412 , :458 ), the clearance slip ( ClearanceController.php:425 )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ClearanceController.php:407-430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(ClearanceController.php:413,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ClearanceController.php:355 ),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ClearanceController.php:398</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AccountingController.php:227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RegistrarController.php:310</w:t>
            </w:r>
            <w:r>
              <w:rPr>
                <w:sz w:val="14"/>
                <w:szCs w:val="14"/>
              </w:rPr>
              <w:t xml:space="preserve">, </w:t>
            </w:r>
            <w:r>
              <w:rPr>
                <w:rFonts w:ascii="Consolas" w:hAnsi="Consolas" w:cs="Consolas"/>
                <w:sz w:val="14"/>
                <w:szCs w:val="14"/>
              </w:rPr>
              <w:t xml:space="preserve">ClearanceController.php:256</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RegistrarController.php:185-196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RegistrarController.php:256-259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ClearanceController.php:388</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ClearanceController.php:355-403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AssessmentController.php:231-322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AccountingController.php:227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RegistrarController.php:297-300 , written at :320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AssessmentController.php:168</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RegistrarController.php:390 , :412 , :443 , ClearanceController.php:407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AccountingController.php:216-265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ClearanceController.php:252,320-372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ClearanceController.php:355-382 ).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RegistrarController.php:195 ),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AccountingController.php:396 )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RegistrarController.php:328-350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AccountingController.php:220-263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ClearanceController.php:385-403</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RegistrarController.php:195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ClearanceController.php:197-230 ).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AssessmentController.php:168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AssessmentController.php:207-211</w:t>
            </w:r>
            <w:r>
              <w:rPr>
                <w:sz w:val="14"/>
                <w:szCs w:val="14"/>
              </w:rPr>
              <w:t xml:space="preserve">, </w:t>
            </w:r>
            <w:r>
              <w:rPr>
                <w:rFonts w:ascii="Consolas" w:hAnsi="Consolas" w:cs="Consolas"/>
                <w:sz w:val="14"/>
                <w:szCs w:val="14"/>
              </w:rPr>
              <w:t xml:space="preserve">:181-190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AssessmentController.php:298-314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AccountingController.php:228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AccountingController.php:300-337 , the signature at :330 ), and a collected payment signs the same box at :283.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RegistrarController.php:205-210</w:t>
            </w:r>
            <w:r>
              <w:rPr>
                <w:sz w:val="14"/>
                <w:szCs w:val="14"/>
              </w:rPr>
              <w:t xml:space="preserve">, </w:t>
            </w:r>
            <w:r>
              <w:rPr>
                <w:rFonts w:ascii="Consolas" w:hAnsi="Consolas" w:cs="Consolas"/>
                <w:sz w:val="14"/>
                <w:szCs w:val="14"/>
              </w:rPr>
              <w:t xml:space="preserve">:210</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RegistrarController.php:328-350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AssessmentController.php:269-301</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AssessmentController.php:466-472 ) and record only from assessed ( AccountingController.php:220-223 ),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AssessmentController.php:262-271 (coverage and the duplicate full grant), PaymentPolicy::settle() , AccountingController.php:300-337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AssessmentController.php:327-331</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AccountingController.php:257-269 ).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ClearanceController.php:197-230 ),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RegistrarController.php:185-196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AccountingController.php:300-337 ),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AccountingController.php:228 , :212-272 ),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AccountingController.php:263-269 ),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(AssessmentController.php:298-314)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resources/js/Pages/Clearance/Index.jsx:272-273;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app/Http/Controllers/Accounting/AccountingController.php:348;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app/Http/Controllers/Assessment/AssessmentController.php:204-215;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app/Http/Controllers/Accounting/AccountingController.php:212-289;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AssessmentController.php:171-183. A grant reduces the bill at AssessmentController.php:274-279, where `coverageType` decides between the remaining balance and `totalAssessedAmount` times `coveragePercent` over 100, and the result is stored at AssessmentController.php:202-210;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AssessmentController.php:274-279 and :202-210, and §14’s pointer to :194-200.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the pagination claim this row first carried was never measured.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on the student directory and on the campus clearance queue, on the assessment desk’s fee sheets and on the cashier’s collection queue — 30 of the 36 pages that use the shared table still offer no order. The screen half of the control has one definition now: the six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six of the thirty-six tables that render the shared component sort on the server today, five of them queues and one a directory. What remains is mechanical now rather than a design question: a sortable set per screen, the handler’s allow-list beside it, and the case that pins each. The fee sheets joined on 2026-10-30 and needed a shape the first four do not carry: a studentassessments row holds neither a surname nor a school number — it points at an enrollment, which points at a student — so ordering that queue by the student is a two-hop join. The helper reads either spelling through one private method (one join/foreign/local triple, or a joins list whose each local names the base table or an earlier hop’s alias), and qualifies a bare column with the hop that actually holds it; two of the tranche’s eight planted defects live in the helper rather than in a handler because the mechanism, not the screen, was the new surface. And CI’s MySQL job went red on a case this box had run green: studentclearances.overallStatus is declared as an ENUM, which MySQL sorts by its declaration index, while the suite compiles the same enum() into a varchar with a CHECK and sorts the stored word — so sort=status&amp;direction=asc answers two different sequences on the two surfaces, and the clearance case had asserted the local one as though it were the only one. It now asks its own connection which order the column has, and its fixture is created Pending, Rejected, Approved so that four orders — id up, id down, the enum’s order, the string’s order — give four different sequences. A sequence typed into a test is a reading of whichever database was open when it was written, which is the spent-counter family reached from a column’s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AccountingController.php:300-337 ),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AccountingController.php:228 , :212-272 ),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AccountingController.php:263-269 ),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ClearanceController.php:252-260</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