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AdmissionController.php:590.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RegistrarController.php:172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AdmissionController.php:531-600 — the seat guard at :545, the create at :573).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RegistrarController.php:151-192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AdmissionController.php:554-559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RegistrarController.php:334-348 , the reason rule at :339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RegistrarController.php:187-207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AdmissionController.php:494-522</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AdmissionController.php:531-600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(AdmissionController.php:590).</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AdmissionController.php:591 ),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RegistrarController.php:274-277 , written at :297 )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AdmissionController.php:593</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RegistrarController.php:172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RegistrarController.php:197-199</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AdmissionController.php:586 )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RegistrarController.php:167-184</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RegistrarController.php:162-174</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RegistrarController.php:237-252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RegistrarController.php:237-296</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RegistrarController.php:377-448</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RegistrarController.php:367 , :389 , :420 (the three desk pages) and :444 , :459 , :471 , :497 (the generated PDFs), ClearanceController.php:383 and :411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AdmissionController.php:531-600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RegistrarController.php:367 ) — the download route answers the same screen with the PDF ( :444 )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RegistrarController.php:389 ); downloadClassCard() serves one card ( :471 )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RegistrarController.php:420 ); downloadSubjectLoad() serves the PDF ( :497 )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ClearanceController.php:401 ); downloadSlip() serves the PDF ( :411 )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RegistrarController.php:379 , :412 , :435 ), the clearance slip ( ClearanceController.php:401 )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ClearanceController.php:383-406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(ClearanceController.php:389,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ClearanceController.php:331 ),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ClearanceController.php:374</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ClearanceController.php:389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RegistrarController.php:287</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RegistrarController.php:162-173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RegistrarController.php:233-236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ClearanceController.php:364</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ClearanceController.php:331-379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RegistrarController.php:274-277 , written at :297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RegistrarController.php:367 , :389 , :420 , ClearanceController.php:383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ClearanceController.php:331-358 ).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RegistrarController.php:172 ),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RegistrarController.php:305-327</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ClearanceController.php:361-379</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AdmissionController.php:573-599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RegistrarController.php:162-173</w:t>
            </w:r>
            <w:r>
              <w:rPr>
                <w:sz w:val="14"/>
                <w:szCs w:val="14"/>
              </w:rPr>
              <w:t xml:space="preserve">, </w:t>
            </w:r>
            <w:r>
              <w:rPr>
                <w:rFonts w:ascii="Consolas" w:hAnsi="Consolas" w:cs="Consolas"/>
                <w:sz w:val="14"/>
                <w:szCs w:val="14"/>
              </w:rPr>
              <w:t xml:space="preserve">:157</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RegistrarController.php:305-327</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RegistrarController.php:162-173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G-43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**No mutant harness has been run over these five cases yet** — they are pinned, not proved able to fail, and the register says so.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Measured by reading rather than recalled: only ONE surface re-declares the map, not all of them — the claim this sweep was handed said more, and the files disproved it. The fix is to read the desk’s own tone function rather than keep a second answer to one word.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Prompt §14 asks for density controls — sorting, filtering, search, pagination, row actions. Filtering, search and row actions are built and instrumented (lane 46 owns the filter contract); sorting exists nowhere, which is a table-wide gap rather than a per-screen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and the family is measured not recalled: `admissions.evaluatedDate`, `studentrequirementsubmissions.submittedDate`, `studentassessments.assessmentDate`, `clearanceapprovals.approvalDate` and `idrequests.requestDate` are all `date` on the server and all fed a Carbon. The two admission stamps moved to `SchoolTime::today()` with this batch and the day case freezes the clock so it cannot pass while both clocks agree. Three writers remain. Lane 50’s PHP half answers 0 over them: it matches `now()-&gt;toDateString()` and `whereDate(…)`, shapes a `date`-cast write is not — so the instrument for this class is not built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Admission\AdmissionController.php:551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