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EvaluationController.php:603-617;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AdmissionController.php:411.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ExamController.php:181-241.</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AdmissionController.php:225-238</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AdmissionPolicy.php:77-89</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ExamController.php:279-288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(ExamController.php:279-288).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(ExamController.php:181-241)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AdmissionPolicy.php:111-126</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:67-152</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(AdmissionController.php:411).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AdmissionController.php:414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(ExamController.php:181-241),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:279-288).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(ExamController.php:181-241 , :210-240 , :244-251).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EvaluationController.php:796-811</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EvaluationController.php:107 ),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(EvaluationController.php:844)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EvaluationController.php:934-941 ).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RegistrarController.php:220-279</w:t>
      </w:r>
      <w:r>
        <w:t xml:space="preserve">).</w:t>
      </w:r>
    </w:p>
    <w:p>
      <w:pPr>
        <w:pStyle w:val="Heading2"/>
        <w:spacing w:after="140" w:before="280"/>
      </w:pPr>
      <w:r>
        <w:t xml:space="preserve">16.2 Return for Rework</w:t>
      </w:r>
    </w:p>
    <w:p>
      <w:pPr>
        <w:spacing w:after="110"/>
      </w:pPr>
      <w:r>
        <w:t xml:space="preserve">The Registrar may send a paid enrollment back to Department Evaluation with a mandatory returnReason ( RegistrarController.php:288-312,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BlockingController.php:524-531</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SendWorkflowNotification.php:38-48 and :54-70</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(:64)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SendEnrollmentNotification.php:59-66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SendWorkflowNotification.php:85-96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:408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AdmissionController.php:225-238</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:358-366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:184-186 (curriculum pinning), :643-667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ReferenceDataController.php:82</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EvaluationController.php:603-617 ),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:67-152</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ExamController.php:181-241, :306-308 and :358-366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:327-333 ): “Schedule was still added — assignments to this room will be capped.” Assigning students into that room is a separate act and is refused: the room total is weighed before the write ( BlockingController.php:495-507 )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:327-333),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:286-287</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:496</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EvaluationController.php:796-809</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:316-340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EvaluationController.php:801-804</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(ExamController.php:181-241)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EvaluationController.php:603-617 ),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 items 1, 2, 4 and 5, each of which asks what the Registrar’s window accepts rather than what the software does. None of the twelve answers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stay open on their own questions.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:327-333),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58 register rows 8 still name an actor while the other 50 name none — 47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so §28.3 holds 47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an operator must name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