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ten rules over idrequests, workflowsteps, enrollmentworkflow, enrollments, notifications and documentprintlog — a validated request with no face photo, a box completed with no officer on it, a request still open under a box its own office already signed, a notice addressed to a class that does not exist — each counted, the impossible ones failing the run (AuditRecordStates.php:44-138, the signed-box rule at :162-169), while printed papers attributable to nobody are noted rather than failed, because that is §28 G-9’s open decision and a report tool must not make it.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