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AdmissionController.php:590.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RegistrarController.php:172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AdmissionController.php:531-600 — the seat guard at :545, the create at :573).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RegistrarController.php:151-192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AdmissionController.php:554-559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RegistrarController.php:334-348 , the reason rule at :339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RegistrarController.php:187-207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AdmissionController.php:494-522</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AdmissionController.php:531-600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(AdmissionController.php:590).</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AdmissionController.php:591 ),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RegistrarController.php:274-277 , written at :297 )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AdmissionController.php:593</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RegistrarController.php:172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RegistrarController.php:197-199</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AdmissionController.php:586 )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RegistrarController.php:167-184</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RegistrarController.php:162-174</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RegistrarController.php:237-252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RegistrarController.php:237-296</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RegistrarController.php:377-448</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RegistrarController.php:367 , :389 , :420 (the three desk pages) and :444 , :459 , :471 , :497 (the generated PDFs), ClearanceController.php:383 and :411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AdmissionController.php:531-600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RegistrarController.php:367 ) — the download route answers the same screen with the PDF ( :444 )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RegistrarController.php:389 ); downloadClassCard() serves one card ( :471 )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RegistrarController.php:420 ); downloadSubjectLoad() serves the PDF ( :497 )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ClearanceController.php:401 ); downloadSlip() serves the PDF ( :411 )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RegistrarController.php:379 , :412 , :435 ), the clearance slip ( ClearanceController.php:401 )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ClearanceController.php:383-406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(ClearanceController.php:389,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ClearanceController.php:331 ),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ClearanceController.php:374</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ClearanceController.php:389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RegistrarController.php:287</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RegistrarController.php:162-173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RegistrarController.php:233-236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ClearanceController.php:364</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ClearanceController.php:331-379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RegistrarController.php:274-277 , written at :297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RegistrarController.php:367 , :389 , :420 , ClearanceController.php:383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ClearanceController.php:331-358 ).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RegistrarController.php:172 ),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RegistrarController.php:305-327</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ClearanceController.php:361-379</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AdmissionController.php:573-599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RegistrarController.php:162-173</w:t>
            </w:r>
            <w:r>
              <w:rPr>
                <w:sz w:val="14"/>
                <w:szCs w:val="14"/>
              </w:rPr>
              <w:t xml:space="preserve">, </w:t>
            </w:r>
            <w:r>
              <w:rPr>
                <w:rFonts w:ascii="Consolas" w:hAnsi="Consolas" w:cs="Consolas"/>
                <w:sz w:val="14"/>
                <w:szCs w:val="14"/>
              </w:rPr>
              <w:t xml:space="preserve">:157</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RegistrarController.php:305-327</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RegistrarController.php:162-173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G-43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four planted defects — requiredness dropped, the ten-character floor dropped, the requirement re-pointed at an approval, and the desk’s own word not persisted — each killing its own named case, with a green control before and after. The cross-office 403 case belongs to the policy, so no leg here would notice a policy widening.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Measured by reading rather than recalled: only ONE surface re-declares the map, not all of them — the claim this sweep was handed said more, and the files disproved it. The fix is to read the desk’s own tone function rather than keep a second answer to one word.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Prompt §14 asks for density controls — sorting, filtering, search, pagination, row actions. Filtering, search and row actions are built and instrumented (lane 46 owns the filter contract); sorting exists nowhere, which is a table-wide gap rather than a per-screen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and the family is measured not recalled: `admissions.evaluatedDate`, `studentrequirementsubmissions.submittedDate`, `studentassessments.assessmentDate`, `clearanceapprovals.approvalDate` and `idrequests.requestDate` are all `date` on the server and all fed a Carbon. The two admission stamps moved to `SchoolTime::today()` with this batch and the day case freezes the clock so it cannot pass while both clocks agree. Three writers remain. Lane 50’s PHP half answers 0 over them: it matches `now()-&gt;toDateString()` and `whereDate(…)`, shapes a `date`-cast write is not — so the instrument for this class is not built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Admission\AdmissionController.php:551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