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 states which column listings are not yet re-generated.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three print rights, and the student-data record. clearance.approve stayed deliberately: it signs a requirement line scoped to the owning office, and no desk role holds clearance.view.</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print.subjectLoad, refdata.view, students.view, user.view — read from role_permissions on the live install, 2026-10-04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three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w:t>
            </w:r>
            <w:r>
              <w:rPr>
                <w:sz w:val="16"/>
                <w:szCs w:val="16"/>
              </w:rPr>
              <w:t xml:space="preserve"> is the Clinic desk's own record — the previous edition described the Clinic phase with no table behind it. </w:t>
            </w:r>
            <w:r>
              <w:rPr>
                <w:rFonts w:ascii="Consolas" w:hAnsi="Consolas" w:cs="Consolas"/>
                <w:sz w:val="16"/>
                <w:szCs w:val="16"/>
              </w:rPr>
              <w:t xml:space="preserve">model_has_permissions</w:t>
            </w:r>
            <w:r>
              <w:rPr>
                <w:sz w:val="16"/>
                <w:szCs w:val="16"/>
              </w:rPr>
              <w:t xml:space="preserve"> is the Spatie pivot that grants a permission to one individual user; it is empty here, which is why §22.3 can be read as the whole permission story</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418</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Read against information_schema on 2026-10-04, then checked back against the migrations that landed after the previous edition of this chapter: the refund trio on payments (refundedAt, refundedBy, refundedReason), the withdrawal trio on studentscholarships (statusChangedBy, statusChangedAt, statusReason), enrollments.dropReason, enrollments.clearanceConfirmedBy and clearanceConfirmedAt, the pinned enrollments.curriculumId, documentprintlog.studentId and blockId, and idrequests.mismatchRemark — plus one whole table this chapter has not yet listed, shiftingrequests. Each is described where the behaviour is documented (§12-§22) and named in §28 by the class or migration that added it, but their rows are NOT yet re-listed in these tables, so the counts above are the 2026-10-04 reading minus those additions. Rebuilding the listings is stated here rather than left for a reader to discover.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 inventory in §23.3, with the referential action of each</w:t>
            </w:r>
          </w:p>
        </w:tc>
      </w:tr>
    </w:tbl>
    <w:p>
      <w:pPr>
        <w:spacing w:after="60"/>
      </w:pPr>
    </w:p>
    <w:p>
      <w:pPr>
        <w:spacing w:after="140"/>
      </w:pPr>
      <w:r>
        <w:rPr>
          <w:i/>
          <w:iCs/>
          <w:sz w:val="18"/>
          <w:szCs w:val="18"/>
        </w:rPr>
        <w:t xml:space="preserve">Cross-check: the migration files independently reproduce the live column set for 56 of the 62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6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20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7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10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2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13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6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(PrintService.php:239) — still no caller: no route and no desk action prints the enrollment form itself</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 the form has no issue row because nothing issues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three print rights, and the student-data record. Live proof that this removed cross-desk reach and nothing else: the eleven accounts holding OfficeHead each still hold the sign right of their own office, because the seeder pairs an office head with their desk role.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54 EMS domain tables, 8 framework tables, 62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