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780 cases today, and 771 plus 9 accounts for the same number, so these are four readings of one suite rather than four suites, and the discovered count is the one figure here that means the same thing on this box and on the runner.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 on this box answers 780 tests and 5,220 assertions, and CI answers 5,013 assertions on its SQLite job and 5,015 on its MySQL job for the same 771 tests, which is why an assertion total now cites a run rather than the code.</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452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410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narrower than this row used to say.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Measured 2026-10-21 on live `ems`: the name prints from the table, and the address and the phone print nothing because their two rows are blank.</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with its owner and its screen now named: the two blank values. Admin → User Management → Settings writes them (UserManagementController.php:471-491) under the settings.manage right, which live `ems` grants to one role, SysAdmin, seated on one account. The field validates required, so a value once supplied cannot be blanked again. What the Registrar owes the paper is the campus address and the contact number; the seeder leaves both empty and says so in the row’s own description.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“Southeast Asian Institute of Technology” — the table's title-case spelling, not the upper-case literal the call passes as its fallback — and the address and phone print empty because those two rows are blank, not because the lookup missed.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and schoolAddress and schoolPhone are seeded blank, each with its own description naming the Registrar as the office that owes it. So the letterhead prints the maintained name and prints nothing where the school has not supplied a value — and StaffAccountManagementTest.php:509-514 pins the bridge itself, by writing a stale config value and requiring the row on disk to answer again.</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sections still asked questions the registers had answered, and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now names an actor in 8 of the 57 register rows and names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One row was found by reading rather than by the checker: P-2 states no verdict word at all, and the enrollment form still carries no course, term or year level, so it is the register’s only live engineering item that the open-claims sweep cannot see.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blank rows; §30’s census, unique-key and open-item figures follow §23.6.1, §24.1 and the registers; §28.7 is written as the order the build took; §28.8 names the eight rows that still owe an answer. Read by storage/app/scratch/lane61-open-claims.php and storage/app/scratch/lane61-who-owes.php.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57 register rows 8 still name an actor while the other 49 name none — 46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Two print findings sit outside this table because it counts only 28.2 and 28.3: P-7, whose letterhead still prints no address and no phone, and P-2, the one print row that states no verdict word at all while the enrollment form it describes still cannot print a program or a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so §28.3 holds 46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with two rows left blank</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two blank rows are why a letterhead prints the school’s name and no address: the table is populated — 3 rows, one of them the name — and a provider carries every row into config(‘settings.*’) at boot, so the gap is in the data the Registrar has not supplied, not in the template and not in the mechanism. §25.5 and P-7 carry the bridge and what still owes a value.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Nothing in this section waits on an institutional answer, and that is worth stating plainly, because the paragraph this one replaces named four open items.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The work this document still owes is not institutional either — it is the two blank letterhead rows (P-7), the program and term the enrollment form cannot print (P-2), and the proxy an operator must name before HSTS means anything (G-13).</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