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`AccountingController.php:212-270`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AccountingController.php:276-285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AccountingController.php:277-285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AccountingController.php:254-257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AccountingController.php:254-257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AccountingController.php:220-223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AccountingController.php:253-272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AccountingController.php:212-230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AccountingController.php:276-285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AccountingController.php:391-435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AccountingController.php:341-370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AccountingController.php:283 when a payment settles the account, and again at :330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AccountingController.php:220-223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AccountingController.php:227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AccountingController.php:227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AccountingController.php:216-265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AccountingController.php:396 )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AccountingController.php:220-263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AccountingController.php:228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AccountingController.php:300-337 , the signature at :330 ), and a collected payment signs the same box at :283.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AccountingController.php:220-223 ),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AccountingController.php:300-337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AccountingController.php:257-269 ).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app/Http/Controllers/Accounting/AccountingController.php:348;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app/Http/Controllers/Accounting/AccountingController.php:212-289;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 30 of the 36 pages that use the shared table still offer no order. The screen half of the control has one definition now: the six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six of the thirty-six tables that render the shared component sort on the server today, five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