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(IDController.php:165-191,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ClearanceController.php:267-281</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IDController.php:165-191</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IDController.php:196-226</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IDController.php:249-268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(IDController.php:280-291).</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(IDController.php:173, :185).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ClearanceController.php:384 and :412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ClearanceController.php:402 ); downloadSlip() serves the PDF ( :412 )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ClearanceController.php:402 )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ClearanceController.php:384-407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(ClearanceController.php:390,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ClearanceController.php:332 ),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ClearanceController.php:375</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ClearanceController.php:390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ClearanceController.php:233</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ClearanceController.php:365</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ClearanceController.php:332-380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ClearanceController.php:384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ClearanceController.php:229,320-372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ClearanceController.php:332-359 ).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ClearanceController.php:362-380</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ClearanceController.php:174-207 ).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ClearanceController.php:174-207 ),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and on the Admission queue — 34 of the 36 pages that use the shared table still offer no order,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ClearanceController.php:229-237</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