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AdmissionController.php:411.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AdmissionController.php:225-238</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AdmissionPolicy.php:77-89</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ExamController.php:279-288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(ExamController.php:279-288).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AdmissionPolicy.php:111-126</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:67-152</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(AdmissionController.php:411).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:279-288).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(ExamController.php:181-241 , :210-240 , :244-251).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EvaluationController.php:796-811</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EvaluationController.php:934-941 ).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RegistrarController.php:288-312,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BlockingController.php:524-531</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:397-404),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AdmissionController.php:225-238</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:358-366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:184-186 (curriculum pinning), :643-667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:67-152</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ExamController.php:181-241, :306-308 and :358-366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:327-333 ):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:286-287</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:496</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EvaluationController.php:796-809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:316-340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EvaluationController.php:801-804</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(ExamController.php:181-241)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:476;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 where the proxy instruction lives; ems:preflight now answers whether the scheme can be decided, and since the same date the value it reads is the TRUSTED_PROXIES env var)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