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45 tables, 76 relationships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 xml:space="preserve">This system digitalizes a face-to-face enrollment process at SEAIT, without changing the process itself — every physical step (submitting documents at a window, obtaining a signature, paying at the Cashier)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 xml:space="preserve">Three constraints shaped every design decision in this document: the process is face-to-face first, with online support explicitly a future possibility, not a current requirement; the school's existing JZEL ID-printing system is not connected to this one, so anything JZEL needs has to be captured independently rather than assumed to sync automatically;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t>Note: ClinicRecords (health assessment/PhilHealth tracking) existed in an earlier version but was restored in a later revision. It is now part of the validated schema as a separate Data Dictionary table, supporting the Clinic phase (Phase 7).</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Applicant completes the school's Physical Examination (always in person, regardless of application mode).</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 xml:space="preserve">Purpose:</w:t>
      </w:r>
      <w:r>
        <w:t xml:space="preserve"> Gate admission for Courses that require it.</w:t>
      </w:r>
    </w:p>
    <w:p>
      <w:pPr>
        <w:spacing w:after="140"/>
      </w:pPr>
      <w:r>
        <w:rPr>
          <w:b/>
          <w:bCs/>
        </w:rPr>
        <w:t xml:space="preserve">Who performs it:</w:t>
      </w:r>
      <w:r>
        <w:t xml:space="preserve"> Whichever office administers entrance exams (typically Academic Department staff); the applicant.</w:t>
      </w:r>
    </w:p>
    <w:p>
      <w:pPr>
        <w:pStyle w:val="Heading3"/>
        <w:spacing w:after="100" w:before="200"/>
      </w:pPr>
      <w:r>
        <w:t xml:space="preserve">External (Applicant / Student / Third Party)</w:t>
      </w:r>
    </w:p>
    <w:p>
      <w:pPr>
        <w:pStyle w:val="ListParagraph"/>
        <w:numPr>
          <w:ilvl w:val="0"/>
          <w:numId w:val="1"/>
        </w:numPr>
        <w:spacing w:after="70"/>
      </w:pPr>
      <w:r>
        <w:t xml:space="preserve">Applicant takes the entrance exam, on the schedule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Action: record the result as an ExamResults row, tagged examStage='entrance'.</w:t>
      </w:r>
    </w:p>
    <w:p>
      <w:pPr>
        <w:pStyle w:val="ListParagraph"/>
        <w:numPr>
          <w:ilvl w:val="0"/>
          <w:numId w:val="1"/>
        </w:numPr>
        <w:spacing w:after="70"/>
      </w:pPr>
      <w:r>
        <w:t xml:space="preserve">Decision: a failed entrance exam can be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This step only produces data for Courses with requiresEntranceExam=true; for every other Course, this phase is skipped entirely and no ExamResults row is created.</w:t>
      </w:r>
    </w:p>
    <w:p>
      <w:pPr>
        <w:pStyle w:val="Heading2"/>
        <w:spacing w:after="140" w:before="280"/>
      </w:pPr>
      <w:r>
        <w:t xml:space="preserve">Phase 1 — Academic Department Evaluation</w:t>
      </w:r>
    </w:p>
    <w:p>
      <w:pPr>
        <w:spacing w:after="140"/>
      </w:pPr>
      <w:r>
        <w:rPr>
          <w:b/>
          <w:bCs/>
        </w:rPr>
        <w:t xml:space="preserve">Purpose:</w:t>
      </w:r>
      <w:r>
        <w:t xml:space="preserve"> Confirm the student's Course/Major, evaluate prior standing, and set the term's subject load.</w:t>
      </w:r>
    </w:p>
    <w:p>
      <w:pPr>
        <w:spacing w:after="140"/>
      </w:pPr>
      <w:r>
        <w:rPr>
          <w:b/>
          <w:bCs/>
        </w:rPr>
        <w:t xml:space="preserve">Who performs it:</w:t>
      </w:r>
      <w:r>
        <w:t xml:space="preserve"> Academic Department staff (evaluator); the student (presenting clearance/prior records as applicable).</w:t>
      </w:r>
    </w:p>
    <w:p>
      <w:pPr>
        <w:pStyle w:val="Heading3"/>
        <w:spacing w:after="100" w:before="200"/>
      </w:pPr>
      <w:r>
        <w:t xml:space="preserve">External (Applicant / Student / Third Party)</w:t>
      </w:r>
    </w:p>
    <w:p>
      <w:pPr>
        <w:pStyle w:val="ListParagraph"/>
        <w:numPr>
          <w:ilvl w:val="0"/>
          <w:numId w:val="1"/>
        </w:numPr>
        <w:spacing w:after="70"/>
      </w:pPr>
      <w:r>
        <w:t xml:space="preserve">First-year/transferee: proceed to the department, in person or via portal.</w:t>
      </w:r>
    </w:p>
    <w:p>
      <w:pPr>
        <w:pStyle w:val="ListParagraph"/>
        <w:numPr>
          <w:ilvl w:val="0"/>
          <w:numId w:val="1"/>
        </w:numPr>
        <w:spacing w:after="70"/>
      </w:pPr>
      <w:r>
        <w:t xml:space="preserve">Continuing/irregular: present clearance from the prior term (see Phase 2) instead of admission documents.</w:t>
      </w:r>
    </w:p>
    <w:p>
      <w:pPr>
        <w:pStyle w:val="ListParagraph"/>
        <w:numPr>
          <w:ilvl w:val="0"/>
          <w:numId w:val="1"/>
        </w:numPr>
        <w:spacing w:after="70"/>
      </w:pPr>
      <w:r>
        <w:t xml:space="preserve">Transferee/shifter: bring prior academic records for crediting.</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for continuing/irregular students,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pPr>
        <w:pStyle w:val="ListParagraph"/>
        <w:numPr>
          <w:ilvl w:val="0"/>
          <w:numId w:val="1"/>
        </w:numPr>
        <w:spacing w:after="70"/>
      </w:pPr>
      <w:r>
        <w:t xml:space="preserve">Action: record the evaluator on Enrollments.evaluatedBy.</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2 — Clearance Verification (Continuing and Irregular Students)</w:t>
      </w:r>
    </w:p>
    <w:p>
      <w:pPr>
        <w:spacing w:after="140"/>
      </w:pPr>
      <w:r>
        <w:rPr>
          <w:b/>
          <w:bCs/>
        </w:rPr>
        <w:t xml:space="preserve">Purpose:</w:t>
      </w:r>
      <w:r>
        <w:t xml:space="preserve"> Confirm the student has no outstanding obligations from the term that just ended, before they're allowed to proceed.</w:t>
      </w:r>
    </w:p>
    <w:p>
      <w:pPr>
        <w:spacing w:after="140"/>
      </w:pPr>
      <w:r>
        <w:rPr>
          <w:b/>
          <w:bCs/>
        </w:rPr>
        <w:t xml:space="preserve">Who performs it:</w:t>
      </w:r>
      <w:r>
        <w:t xml:space="preserve"> Safety and Security, SSC, Library, Scholarship Office, and the Dean/Program Head desk (whichever applies) sign; Registrar ultimately receives the completed form.</w:t>
      </w:r>
    </w:p>
    <w:p>
      <w:pPr>
        <w:pStyle w:val="Heading3"/>
        <w:spacing w:after="100" w:before="200"/>
      </w:pPr>
      <w:r>
        <w:t xml:space="preserve">External (Applicant / Student / Third Party)</w:t>
      </w:r>
    </w:p>
    <w:p>
      <w:pPr>
        <w:pStyle w:val="ListParagraph"/>
        <w:numPr>
          <w:ilvl w:val="0"/>
          <w:numId w:val="1"/>
        </w:numPr>
        <w:spacing w:after="70"/>
      </w:pPr>
      <w:r>
        <w:t xml:space="preserve">Student visits each of the five offices (in whatever order the school allows) to obtain a signature.</w:t>
      </w:r>
    </w:p>
    <w:p>
      <w:pPr>
        <w:pStyle w:val="ListParagraph"/>
        <w:numPr>
          <w:ilvl w:val="0"/>
          <w:numId w:val="1"/>
        </w:numPr>
        <w:spacing w:after="70"/>
      </w:pPr>
      <w:r>
        <w:t xml:space="preserve">Student submits the completed clearance form to the Registrar (see Phase 5) — the office keeps one copy, the student keeps the other (a printing detail, not two different records).</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t xml:space="preserve">Five ClearanceApprovals rows (one per required office) accumulate under a single StudentClearances row; the Registrar phase later checks that row's overallStatus rather than checking each office individually.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 xml:space="preserve">Who performs it:</w:t>
      </w:r>
      <w:r>
        <w:t xml:space="preserve"> Scholarship Office (award verification); Cashier or Accounting (if the fuller fee-calculation module is in use).</w:t>
      </w:r>
    </w:p>
    <w:p>
      <w:pPr>
        <w:pStyle w:val="Heading3"/>
        <w:spacing w:after="100" w:before="200"/>
      </w:pPr>
      <w:r>
        <w:t xml:space="preserve">External (Applicant / Student / Third Party)</w:t>
      </w:r>
    </w:p>
    <w:p>
      <w:pPr>
        <w:pStyle w:val="ListParagraph"/>
        <w:numPr>
          <w:ilvl w:val="0"/>
          <w:numId w:val="1"/>
        </w:numPr>
        <w:spacing w:after="70"/>
      </w:pPr>
      <w:r>
        <w:t xml:space="preserve">Student may present scholarship documentation (first encounter) or simply be already on file from a prior term.</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check for an active StudentScholarships row for this student and term.</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 xml:space="preserve">Phase 4 — Cashier (Payment)</w:t>
      </w:r>
    </w:p>
    <w:p>
      <w:pPr>
        <w:spacing w:after="140"/>
      </w:pPr>
      <w:r>
        <w:rPr>
          <w:b/>
          <w:bCs/>
        </w:rPr>
        <w:t xml:space="preserve">Purpose:</w:t>
      </w:r>
      <w:r>
        <w:t xml:space="preserve"> Collect and record the enrollment fee (or remaining balance).</w:t>
      </w:r>
    </w:p>
    <w:p>
      <w:pPr>
        <w:spacing w:after="140"/>
      </w:pPr>
      <w:r>
        <w:rPr>
          <w:b/>
          <w:bCs/>
        </w:rPr>
        <w:t xml:space="preserve">Who performs it:</w:t>
      </w:r>
      <w:r>
        <w:t xml:space="preserve"> Cashier staff; the student.</w:t>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 xml:space="preserve">Action: record a WorkflowSteps row for Cashier.</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rPr>
          <w:b/>
          <w:bCs/>
        </w:rPr>
        <w:t xml:space="preserve">Who performs it:</w:t>
      </w:r>
      <w:r>
        <w:t xml:space="preserve"> Registrar staff; the student (submitting the enrollment form, clearance form, and — for first-years — PSA certificate).</w:t>
      </w:r>
    </w:p>
    <w:p>
      <w:pPr>
        <w:pStyle w:val="Heading3"/>
        <w:spacing w:after="100" w:before="200"/>
      </w:pPr>
      <w:r>
        <w:t xml:space="preserve">External (Applicant / Student / Third Party)</w:t>
      </w:r>
    </w:p>
    <w:p>
      <w:pPr>
        <w:pStyle w:val="ListParagraph"/>
        <w:numPr>
          <w:ilvl w:val="0"/>
          <w:numId w:val="1"/>
        </w:numPr>
        <w:spacing w:after="70"/>
      </w:pPr>
      <w:r>
        <w:t xml:space="preserve">Student submits the enrollment form, tracking form, clearance (if applicable), and PSA (first-years) for verification.</w:t>
      </w:r>
    </w:p>
    <w:p>
      <w:pPr>
        <w:pStyle w:val="ListParagraph"/>
        <w:numPr>
          <w:ilvl w:val="0"/>
          <w:numId w:val="1"/>
        </w:numPr>
        <w:spacing w:after="70"/>
      </w:pPr>
      <w:r>
        <w:t xml:space="preserve">Student receives back the tracking form and the official Enrollment Certificate/Subject Load slip.</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verify Payments and (for continuing/irregular students) StudentClearances.overallStatus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Heading3"/>
        <w:spacing w:after="100" w:before="200"/>
      </w:pPr>
      <w:r>
        <w:t xml:space="preserve">Data Flow</w:t>
      </w:r>
    </w:p>
    <w:p>
      <w:pPr>
        <w:spacing w:after="140"/>
      </w:pPr>
      <w:r>
        <w:t xml:space="preserve">No new tables are created here — this phase is almost entirely status transitions on rows already created in Phases 1 and 4, which is why it can be a single verification step rather than its own data-entry-heavy stage.</w:t>
      </w:r>
    </w:p>
    <w:p>
      <w:pPr>
        <w:pStyle w:val="Heading2"/>
        <w:spacing w:after="140" w:before="280"/>
      </w:pPr>
      <w:r>
        <w:t xml:space="preserve">Phase 6 — Academic Department: Blocking and Scheduling</w:t>
      </w:r>
    </w:p>
    <w:p>
      <w:pPr>
        <w:spacing w:after="140"/>
      </w:pPr>
      <w:r>
        <w:rPr>
          <w:b/>
          <w:bCs/>
        </w:rPr>
        <w:t xml:space="preserve">Purpose:</w:t>
      </w:r>
      <w:r>
        <w:t xml:space="preserve"> Assign the student to a section and finalize their class schedule.</w:t>
      </w:r>
    </w:p>
    <w:p>
      <w:pPr>
        <w:spacing w:after="140"/>
      </w:pPr>
      <w:r>
        <w:rPr>
          <w:b/>
          <w:bCs/>
        </w:rPr>
        <w:t xml:space="preserve">Who performs it:</w:t>
      </w:r>
      <w:r>
        <w:t xml:space="preserve"> Academic Department staff.</w:t>
      </w:r>
    </w:p>
    <w:p>
      <w:pPr>
        <w:pStyle w:val="Heading3"/>
        <w:spacing w:after="100" w:before="200"/>
      </w:pPr>
      <w:r>
        <w:t xml:space="preserve">External (Applicant / Student / Third Party)</w:t>
      </w:r>
    </w:p>
    <w:p>
      <w:pPr>
        <w:pStyle w:val="ListParagraph"/>
        <w:numPr>
          <w:ilvl w:val="0"/>
          <w:numId w:val="1"/>
        </w:numPr>
        <w:spacing w:after="70"/>
      </w:pPr>
      <w:r>
        <w:t xml:space="preserve">None — this phase happens entirely within the school's own systems, without a corresponding student action.</w:t>
      </w:r>
    </w:p>
    <w:p>
      <w:pPr>
        <w:pStyle w:val="Heading3"/>
        <w:spacing w:after="100" w:before="200"/>
      </w:pPr>
      <w:r>
        <w:t xml:space="preserve">Internal (Staff, Office, and System Actions/Decisions)</w:t>
      </w:r>
    </w:p>
    <w:p>
      <w:pPr>
        <w:pStyle w:val="ListParagraph"/>
        <w:numPr>
          <w:ilvl w:val="0"/>
          <w:numId w:val="1"/>
        </w:numPr>
        <w:spacing w:after="70"/>
      </w:pPr>
      <w:r>
        <w:t>Action: assign the student's EnrolledSubjects rows to a Blocks row for their year level/Course/term.</w:t>
      </w:r>
    </w:p>
    <w:p>
      <w:pPr>
        <w:pStyle w:val="ListParagraph"/>
        <w:numPr>
          <w:ilvl w:val="0"/>
          <w:numId w:val="1"/>
        </w:numPr>
        <w:spacing w:after="70"/>
      </w:pPr>
      <w:r>
        <w:t xml:space="preserve">Action: each subject links to a Schedules row (instructor, room), which in turn has one or more ScheduleMeetings rows (since a subject can meet on different days at different times).</w:t>
      </w:r>
    </w:p>
    <w:p>
      <w:pPr>
        <w:pStyle w:val="ListParagraph"/>
        <w:numPr>
          <w:ilvl w:val="0"/>
          <w:numId w:val="1"/>
        </w:numPr>
        <w:spacing w:after="70"/>
      </w:pPr>
      <w:r>
        <w:t xml:space="preserve">Action: record a second WorkflowSteps row for the Academic Department (this time for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Blocks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 courseId, termId, yearLevel, sectionName,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 sectionId,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Courses → Blocks.courseId (1:M, mandatory)</w:t>
      </w:r>
    </w:p>
    <w:p>
      <w:pPr>
        <w:pStyle w:val="ListParagraph"/>
        <w:numPr>
          <w:ilvl w:val="0"/>
          <w:numId w:val="1"/>
        </w:numPr>
        <w:spacing w:after="70"/>
      </w:pPr>
      <w:r>
        <w:t>AcademicTerms → Blocks.termId (1:M, mandatory)</w:t>
      </w:r>
    </w:p>
    <w:p>
      <w:pPr>
        <w:pStyle w:val="ListParagraph"/>
        <w:numPr>
          <w:ilvl w:val="0"/>
          <w:numId w:val="1"/>
        </w:numPr>
        <w:spacing w:after="70"/>
      </w:pPr>
      <w:r>
        <w:t>Blocks → Schedules.sectionId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Blocks → EnrolledSubjects.sectionId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EnrolledSubjects rows (already created in Phase 1, confirmed in Phase 5) are updated here to point at a specific Blocks and Schedules row each — no new EnrolledSubjects rows are created, only linked.</w:t>
      </w:r>
    </w:p>
    <w:p>
      <w:pPr>
        <w:pStyle w:val="Heading2"/>
      </w:pPr>
      <w:r>
        <w:t>Phase 7 — Clinic: Health Assessment and PhilHealth Registration</w:t>
      </w:r>
    </w:p>
    <w:p>
      <w:r>
        <w:t>Purpose: Perform health assessments, record height/weight, administer PhilHealth registration, and sign the enrollment workflow form.</w:t>
      </w:r>
    </w:p>
    <w:p>
      <w:r>
        <w:t>Who performs it: School Clinic staff.</w:t>
      </w:r>
    </w:p>
    <w:p>
      <w:pPr>
        <w:pStyle w:val="Heading3"/>
      </w:pPr>
      <w:r>
        <w:t>External (Applicant / Student / Third Party)</w:t>
      </w:r>
    </w:p>
    <w:p>
      <w:pPr>
        <w:pStyle w:val="ListParagraph"/>
        <w:numPr>
          <w:numId w:val="0"/>
        </w:numPr>
      </w:pPr>
      <w:r>
        <w:t>Student receives hard copy health assessment forms and completes them.</w:t>
      </w:r>
    </w:p>
    <w:p>
      <w:pPr>
        <w:pStyle w:val="List Paragraph"/>
      </w:pPr>
      <w:r>
        <w:t>Student’s height and weight are measured and recorded.</w:t>
      </w:r>
    </w:p>
    <w:p>
      <w:pPr>
        <w:pStyle w:val="ListParagraph"/>
        <w:numPr>
          <w:numId w:val="0"/>
        </w:numPr>
      </w:pPr>
      <w:r>
        <w:t>Student is registered for PhilHealth (if not already registered).</w:t>
      </w:r>
    </w:p>
    <w:p>
      <w:pPr>
        <w:pStyle w:val="Heading3"/>
      </w:pPr>
      <w:r>
        <w:t>Internal (Staff, Office, and System Actions/Decisions)</w:t>
      </w:r>
    </w:p>
    <w:p>
      <w:pPr>
        <w:pStyle w:val="ListParagraph"/>
        <w:numPr>
          <w:numId w:val="0"/>
        </w:numPr>
      </w:pPr>
      <w:r>
        <w:t>Action: a ClinicRecords row is created against the student’s current Enrollments row, capturing heightCm, weightKg, bloodPressure, philhealthNumber, philhealthRegistered, assessmentNotes, and findings.</w:t>
      </w:r>
    </w:p>
    <w:p>
      <w:pPr>
        <w:pStyle w:val="ListParagraph"/>
        <w:numPr>
          <w:numId w:val="0"/>
        </w:numPr>
      </w:pPr>
      <w:r>
        <w:t>Action: Clinic staff record a WorkflowSteps row for the School Clinic, signing the enrollment workflow process form.</w:t>
      </w:r>
    </w:p>
    <w:p>
      <w:pPr>
        <w:pStyle w:val="ListParagraph"/>
        <w:numPr>
          <w:numId w:val="0"/>
        </w:numPr>
      </w:pPr>
      <w:r>
        <w:t>Action: clinicRecordId links to the ClinicRecords table; the enrollmentWorkflow stepOrder advances.</w:t>
      </w:r>
    </w:p>
    <w:p>
      <w:pPr>
        <w:pStyle w:val="Heading3"/>
      </w:pPr>
      <w:r>
        <w:t>Tables and Key Attributes Involved</w:t>
      </w:r>
    </w:p>
    <w:p>
      <w:pPr>
        <w:pStyle w:val="ListParagraph"/>
        <w:numPr>
          <w:numId w:val="0"/>
        </w:numPr>
      </w:pPr>
      <w:r>
        <w:t>ClinicRecords: clinicRecordId (PK), enrollmentId (FK), heightCm, weightKg, bloodPressure, philhealthNumber, philhealthRegistered, assessmentNotes, findings, clinicStaffId (FK), assessmentDate, status.</w:t>
      </w:r>
    </w:p>
    <w:p>
      <w:pPr>
        <w:pStyle w:val="ListParagraph"/>
        <w:numPr>
          <w:numId w:val="0"/>
        </w:numPr>
      </w:pPr>
      <w:r>
        <w:t>WorkflowSteps: workflowStepId (PK), workflowId (FK), officeId (FK), stepOrder, stepStatus, signedBy, signedDate.</w:t>
      </w:r>
    </w:p>
    <w:p>
      <w:pPr>
        <w:pStyle w:val="Heading3"/>
      </w:pPr>
      <w:r>
        <w:t>Relationships and Cardinality Active in This Phase</w:t>
      </w:r>
    </w:p>
    <w:p>
      <w:pPr>
        <w:pStyle w:val="ListParagraph"/>
        <w:numPr>
          <w:numId w:val="0"/>
        </w:numPr>
      </w:pPr>
      <w:r>
        <w:t>Enrollments → ClinicRecords.enrollmentId (1:M, mandatory)</w:t>
      </w:r>
    </w:p>
    <w:p>
      <w:pPr>
        <w:pStyle w:val="ListParagraph"/>
        <w:numPr>
          <w:numId w:val="0"/>
        </w:numPr>
      </w:pPr>
      <w:r>
        <w:t>StaffUsers → ClinicRecords.clinicStaffId (1:M, nullable)</w:t>
      </w:r>
    </w:p>
    <w:p>
      <w:pPr>
        <w:pStyle w:val="ListParagraph"/>
        <w:numPr>
          <w:numId w:val="0"/>
        </w:numPr>
      </w:pPr>
      <w:r>
        <w:t>ClinicRecords → Enrollments.enrollmentId (1:1, mandatory — one clinic record per enrollment per term)</w:t>
      </w:r>
    </w:p>
    <w:p>
      <w:pPr>
        <w:pStyle w:val="ListParagraph"/>
        <w:numPr>
          <w:numId w:val="0"/>
        </w:numPr>
      </w:pPr>
      <w:r>
        <w:t>Enrollments → EnrollmentWorkflow.enrollmentId (1:1, mandatory)</w:t>
      </w:r>
    </w:p>
    <w:p>
      <w:pPr>
        <w:pStyle w:val="ListParagraph"/>
        <w:numPr>
          <w:numId w:val="0"/>
        </w:numPr>
      </w:pPr>
      <w:r>
        <w:t>EnrollmentWorkflow → WorkflowSteps.workflowId (1:M, mandatory)</w:t>
      </w:r>
    </w:p>
    <w:p>
      <w:pPr>
        <w:pStyle w:val="ListParagraph"/>
        <w:numPr>
          <w:numId w:val="0"/>
        </w:numPr>
      </w:pPr>
      <w:r>
        <w:t>Offices → WorkflowSteps.officeId (1:M, mandatory — School Clinic is officeId=11)</w:t>
      </w:r>
    </w:p>
    <w:p>
      <w:pPr>
        <w:pStyle w:val="ListParagraph"/>
        <w:numPr>
          <w:numId w:val="0"/>
        </w:numPr>
      </w:pPr>
      <w:r>
        <w:t>StaffUsers → WorkflowSteps.signedBy (1:M, nullable)</w:t>
      </w:r>
    </w:p>
    <w:p>
      <w:pPr>
        <w:pStyle w:val="Heading3"/>
      </w:pPr>
      <w:r>
        <w:t>Data Flow</w:t>
      </w:r>
    </w:p>
    <w:p>
      <w:pPr/>
      <w:r>
        <w:t>ClinicRecords row is INSERTed (heightCm, weightKg, bloodPressure, philhealthNumber, philhealthRegistered, assessmentNotes, findings). WorkflowSteps row for officeId=11 (School Clinic) gets stepStatus UPDATED to completed, with signedBy (staff user) and signedDate populated. EnrollmentWorkflow.currentStep is incremented.</w:t>
      </w:r>
    </w:p>
    <w:p>
      <w:pPr>
        <w:pStyle w:val="Heading2"/>
        <w:spacing w:after="140" w:before="280"/>
      </w:pPr>
      <w:r>
        <w:t>Phase 8 — ID Request and Release</w:t>
      </w:r>
    </w:p>
    <w:p>
      <w:pPr>
        <w:spacing w:after="140"/>
      </w:pPr>
      <w:r>
        <w:rPr>
          <w:b/>
          <w:bCs/>
        </w:rPr>
        <w:t xml:space="preserve">Purpose:</w:t>
      </w:r>
      <w:r>
        <w:t xml:space="preserve"> Produce and validate a physical, scannable student ID.</w:t>
      </w:r>
    </w:p>
    <w:p>
      <w:pPr>
        <w:spacing w:after="140"/>
      </w:pPr>
      <w:r>
        <w:rPr>
          <w:b/>
          <w:bCs/>
        </w:rPr>
        <w:t xml:space="preserve">Who performs it:</w:t>
      </w:r>
      <w:r>
        <w:t xml:space="preserve"> JZEL Printing Services (external vendor, card production); Safety and Security (internal, validation and tracking-form signature).</w:t>
      </w:r>
    </w:p>
    <w:p>
      <w:pPr>
        <w:pStyle w:val="Heading3"/>
        <w:spacing w:after="100" w:before="200"/>
      </w:pPr>
      <w:r>
        <w:t xml:space="preserve">External (Applicant / Student / Third Party)</w:t>
      </w:r>
    </w:p>
    <w:p>
      <w:pPr>
        <w:pStyle w:val="ListParagraph"/>
        <w:numPr>
          <w:ilvl w:val="0"/>
          <w:numId w:val="1"/>
        </w:numPr>
        <w:spacing w:after="70"/>
      </w:pPr>
      <w:r>
        <w:t xml:space="preserve">Student visits JZEL, fills an intake form (name, program, birthday, address, emergency contact, blood type — re-supplied because JZEL's system is disconnected from the school's), and is photographed.</w:t>
      </w:r>
    </w:p>
    <w:p>
      <w:pPr>
        <w:pStyle w:val="ListParagraph"/>
        <w:numPr>
          <w:ilvl w:val="0"/>
          <w:numId w:val="1"/>
        </w:numPr>
        <w:spacing w:after="70"/>
      </w:pPr>
      <w:r>
        <w:t xml:space="preserve">Student proceeds to Safety and Security, is photographed again (a separate, security-specific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 xml:space="preserve">Action: Safety and Security updates that same StudentIds row — securityPhotoPath, validatedBy, validatedDate, validationStatus → 'active'.</w:t>
      </w:r>
    </w:p>
    <w:p>
      <w:pPr>
        <w:pStyle w:val="ListParagraph"/>
        <w:numPr>
          <w:ilvl w:val="0"/>
          <w:numId w:val="1"/>
        </w:numPr>
        <w:spacing w:after="70"/>
      </w:pPr>
      <w:r>
        <w:t xml:space="preserve">Action: the final WorkflowSteps row is recorded for Safety and Security only (JZEL has no signing role);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p>
      <w:pPr>
        <w:pStyle w:val="Heading2"/>
        <w:spacing w:after="140" w:before="280"/>
      </w:pPr>
      <w:r>
        <w:t>Phase 9 — Mid-Course Qualifying Exam (Conditional)</w:t>
      </w:r>
    </w:p>
    <w:p>
      <w:pPr>
        <w:spacing w:after="140"/>
      </w:pPr>
      <w:r>
        <w:rPr>
          <w:b/>
          <w:bCs/>
        </w:rPr>
        <w:t xml:space="preserve">Purpose:</w:t>
      </w:r>
      <w:r>
        <w:t xml:space="preserve"> Gate advancement to a later year level for Courses that require it.</w:t>
      </w:r>
    </w:p>
    <w:p>
      <w:pPr>
        <w:spacing w:after="140"/>
      </w:pPr>
      <w:r>
        <w:rPr>
          <w:b/>
          <w:bCs/>
        </w:rPr>
        <w:t xml:space="preserve">Who performs it:</w:t>
      </w:r>
      <w:r>
        <w:t xml:space="preserve"> Whichever office administers the exam; the student.</w:t>
      </w:r>
    </w:p>
    <w:p>
      <w:pPr>
        <w:pStyle w:val="Heading3"/>
        <w:spacing w:after="100" w:before="200"/>
      </w:pPr>
      <w:r>
        <w:t xml:space="preserve">External (Applicant / Student / Third Party)</w:t>
      </w:r>
    </w:p>
    <w:p>
      <w:pPr>
        <w:pStyle w:val="ListParagraph"/>
        <w:numPr>
          <w:ilvl w:val="0"/>
          <w:numId w:val="1"/>
        </w:numPr>
        <w:spacing w:after="70"/>
      </w:pPr>
      <w:r>
        <w:t xml:space="preserve">Student takes the qualifying/retention exam before advancing to the relevant year level.</w:t>
      </w:r>
    </w:p>
    <w:p>
      <w:pPr>
        <w:pStyle w:val="Heading3"/>
        <w:spacing w:after="100" w:before="200"/>
      </w:pPr>
      <w:r>
        <w:t xml:space="preserve">Internal (Staff, Office, and System Actions/Decisions)</w:t>
      </w:r>
    </w:p>
    <w:p>
      <w:pPr>
        <w:pStyle w:val="ListParagraph"/>
        <w:numPr>
          <w:ilvl w:val="0"/>
          <w:numId w:val="1"/>
        </w:numPr>
        <w:spacing w:after="70"/>
      </w:pPr>
      <w:r>
        <w:t>Action: record the result as an ExamResults row, tagged examStage='midCourseQualifying'.</w:t>
      </w:r>
    </w:p>
    <w:p>
      <w:pPr>
        <w:pStyle w:val="ListParagraph"/>
        <w:numPr>
          <w:ilvl w:val="0"/>
          <w:numId w:val="1"/>
        </w:numPr>
        <w:spacing w:after="70"/>
      </w:pPr>
      <w:r>
        <w:t xml:space="preserve">Decision: a failed result can be checked before a future Enrollments row for the next year level is allowed to proceed.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 xml:space="preserve">Structurally identical to Phase 0.5's entrance exam — same table, different examStage value, distinguishing the two without needing two different tables.</w:t>
      </w:r>
    </w:p>
    <w:p>
      <w:pPr>
        <w:pStyle w:val="Heading2"/>
        <w:spacing w:after="140" w:before="280"/>
      </w:pPr>
      <w:r>
        <w:t xml:space="preserve">Cross-Cutting (Not Tied to One Phase)</w:t>
      </w:r>
    </w:p>
    <w:p>
      <w:pPr>
        <w:spacing w:after="140"/>
      </w:pPr>
      <w:r>
        <w:rPr>
          <w:b/>
          <w:bCs/>
        </w:rPr>
        <w:t>Notifications (removed): Was originally a status-change messaging table. Removed in a later revision to avoid over-engineering for the face-to-face-first MVP. A lighter notification mechanism can be re-implemented when online support expands.</w:t>
      </w:r>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0.5(if applicable) → 1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 admission requirements apply; no Phase 2 (no prior term to clear).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and any exam phases; must clear Phase 2 before Phase 1 can complete.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Same path as Continuing, but Phase 1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1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Goes through Admission like a first-year, but Phase 1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like a continuing student, but Phase 1 evaluates their old program's completed subjects for CreditedSubjects.</w:t>
            </w:r>
          </w:p>
        </w:tc>
      </w:tr>
    </w:tbl>
    <w:p>
      <w:pPr>
        <w:pStyle w:val="Heading1"/>
        <w:spacing w:after="190" w:before="380"/>
      </w:pPr>
      <w:r>
        <w:t>3. Complete Data Dictionary (45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Guardians.studentId (1:M); Addresses.studentId (1:M); StudentEducationalBackgrounds.studentId (1:M); ExamResults.studentId (1:M); Admissions.studentId (1:M); Enrollments.studentId (1:M); TransferAcademicRecords.studentId (1:M); StudentScholarships.studentId (1:M); StudentClearances.studentId (1:M); StudentIds.studentId (1:M); Notifications.studentId (1:M)</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 xml:space="preserve">One row per degree program — named "Course" to match the school's own terminology. Carries independent flags for whether an entrance exam and/or mid-course qualifying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requiresQualifyingExam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Majors.courseId (1:M); Curriculums.courseId (1:M); ExamResults.courseId (1:M); Admissions.courseId (1:M); Enrollments.courseId (1:M); Blocks.courseId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ExamResults</w:t>
      </w:r>
    </w:p>
    <w:p>
      <w:pPr>
        <w:spacing w:after="140"/>
      </w:pPr>
      <w:r>
        <w:t xml:space="preserve">Records of entrance and mid-course qualifying exam results, for the Courses that require either. Role in workflow: an entrance exam result can gate Admission; a qualifying exam result can gate advancement to a later year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Pr>
          <w:p>
            <w:r>
              <w:t>examType</w:t>
            </w:r>
          </w:p>
        </w:tc>
        <w:tc>
          <w:tcPr>
            <w:tcW w:type="dxa" w:w="1400"/>
          </w:tcPr>
          <w:p>
            <w:r>
              <w:t>VARCHAR(50)</w:t>
            </w:r>
          </w:p>
        </w:tc>
        <w:tc>
          <w:tcPr>
            <w:tcW w:type="dxa" w:w="5760"/>
          </w:tcPr>
          <w:p>
            <w:r>
              <w:t>'general'</w:t>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ExamResults.termId (1:M); Admissions.termId (1:M); Enrollments.termId (1:M); StudentScholarships.termId (1:M); ClearancePeriods.termId (1:M); Blocks.termId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EnrolledSubjects.enrollmentId (1:M); CreditedSubjects.enrollmentId (1:M); StudentAssessments.enrollmentId (1:M); Payments.enrollmentId (1:M); IdRequests.enrollmentId (1:M); DocumentPrintLog.enrollmentId (1:M); EnrollmentWorkflow.enrollmentId (1:1)</w:t>
      </w:r>
    </w:p>
    <w:p>
      <w:pPr>
        <w:spacing w:after="140"/>
      </w:pPr>
      <w:r>
        <w:rPr>
          <w:sz w:val="2"/>
          <w:szCs w:val="2"/>
        </w:rPr>
        <w:t xml:space="preserve"/>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Pr>
          <w:p>
            <w:r>
              <w:t>awardedBeforeEnrollment</w:t>
            </w:r>
          </w:p>
        </w:tc>
        <w:tc>
          <w:tcPr>
            <w:tcW w:type="dxa" w:w="1400"/>
          </w:tcPr>
          <w:p>
            <w:r>
              <w:t>TINYINT(1)</w:t>
            </w:r>
          </w:p>
        </w:tc>
        <w:tc>
          <w:tcPr>
            <w:tcW w:type="dxa" w:w="5760"/>
          </w:tcPr>
          <w:p>
            <w:r>
              <w:t>0</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Blocks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EnrolledSubjects.sectionId (1:M); Schedules.sectionId (1:M)</w:t>
      </w:r>
    </w:p>
    <w:p>
      <w:pPr>
        <w:spacing w:after="140"/>
      </w:pPr>
      <w:r>
        <w:rPr>
          <w:sz w:val="2"/>
          <w:szCs w:val="2"/>
        </w:rPr>
        <w:t xml:space="preserve"/>
      </w:r>
    </w:p>
    <w:p>
      <w:pPr>
        <w:pStyle w:val="Heading3"/>
        <w:spacing w:after="100" w:before="200"/>
      </w:pPr>
      <w:r>
        <w:t xml:space="preserve">Schedules</w:t>
      </w:r>
    </w:p>
    <w:p>
      <w:pPr>
        <w:spacing w:after="140"/>
      </w:pPr>
      <w:r>
        <w:t xml:space="preserve">One subject's assignment to a section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 xml:space="preserve">Card production (external, via JZEL) and validation (internal, Safety and Security).</w:t>
      </w:r>
    </w:p>
    <w:p>
      <w:pPr>
        <w:pStyle w:val="Heading3"/>
        <w:spacing w:after="100" w:before="200"/>
      </w:pPr>
      <w:r>
        <w:t xml:space="preserve">IdRequests</w:t>
      </w:r>
    </w:p>
    <w:p>
      <w:pPr>
        <w:spacing w:after="140"/>
      </w:pPr>
      <w:r>
        <w:t xml:space="preserve">Intake for a student ID request, referencing the student's current Enrollments row directly. Carries the extra fields JZEL specifically asks for, since their system is disconnected from this one. Role in workflow: created when a student visits JZEL.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producedByVendor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 xml:space="preserve">The card as a system record — QR value and validation state, starting "pendingValidation" until Safety and Security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w:t>
      </w:r>
    </w:p>
    <w:p>
      <w:pPr>
        <w:spacing w:after="140"/>
      </w:pPr>
      <w:r>
        <w:rPr>
          <w:sz w:val="2"/>
          <w:szCs w:val="2"/>
        </w:rPr>
        <w:t xml:space="preserve"/>
      </w:r>
    </w:p>
    <w:p>
      <w:pPr>
        <w:pStyle w:val="Heading2"/>
        <w:spacing w:after="140" w:before="280"/>
      </w:pPr>
      <w:r>
        <w:t>Module 11 — Reports and Document Tracking</w:t>
      </w:r>
    </w:p>
    <w:p>
      <w:pPr>
        <w:spacing w:after="140"/>
      </w:pPr>
      <w:r>
        <w:rPr>
          <w:i/>
          <w:iCs/>
          <w:color w:val="555555"/>
        </w:rPr>
        <w:t xml:space="preserve">Optional support for the online channel and document accountability.</w:t>
      </w:r>
    </w:p>
    <w:p>
      <w:pPr>
        <w:pStyle w:val="Heading3"/>
        <w:spacing w:after="100" w:before="200"/>
      </w:pPr>
      <w:r>
        <w:t>[REMOVED] Notifications</w:t>
      </w:r>
    </w:p>
    <w:p>
      <w:pPr>
        <w:spacing w:after="140"/>
      </w:pPr>
      <w:r>
        <w:t xml:space="preserve">Status-change messages to students. Optional — matters most once online support exists; face-to-face students are told in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r>
              <w:t>[REMOVED]</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bl>
    <w:p>
      <w:pPr>
        <w:spacing w:after="140"/>
      </w:pPr>
      <w:r>
        <w:rPr>
          <w:sz w:val="2"/>
          <w:szCs w:val="2"/>
        </w:rPr>
        <w:t xml:space="preserve"/>
      </w:r>
    </w:p>
    <w:p>
      <w:pPr>
        <w:pStyle w:val="Heading3"/>
        <w:spacing w:after="100" w:before="200"/>
      </w:pPr>
      <w:r>
        <w:t xml:space="preserve">DocumentPrintLog  (OPTIONAL)</w:t>
      </w:r>
    </w:p>
    <w:p>
      <w:pPr>
        <w:spacing w:after="140"/>
      </w:pPr>
      <w:r>
        <w:t xml:space="preserve">Tracks reprints of certificates/subject cards for verification/anti-fraud purposes. Optional — only worth it if reprint fraud has been a real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4. Why This System Uses 45 tables</w:t>
      </w:r>
    </w:p>
    <w:p>
      <w:pPr>
        <w:spacing w:after="140"/>
      </w:pPr>
      <w:r>
        <w:t xml:space="preserve">Forty-six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Every foreign key enforces a real constraint the school actually needs: a Payments row can't exist without a real Enrollments row behind it; a ClearanceApprovals row can't exist without a real office and a real clearance case. The six UNIQUE constraints added during validation (one clearance per student per term, one active scholarship per student per term) push business rules the school confirmed as always-true down into the database itself, so a bug or a double-click can't silently create an impossible row. Five performance indexes were also added (idx_students_names on lastName/firstName, idx_payments_or on orNumber, idx_schedules_lookup on sectionId/subjectId, idx_studentscholarships_lookup on studentId/termId, and idx_examresults_student on studentId/courseId/termId) to accelerate the most frequent lookup patterns without premature optimization of every column.</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 xml:space="preserve">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JZEL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Every one of the 45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