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46 tables, 78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p>
      <w:pPr>
        <w:pStyle w:val="Heading2"/>
        <w:spacing w:after="140" w:before="280"/>
      </w:pPr>
      <w:r>
        <w:t xml:space="preserve">Phase 1 — Academic Department Evaluation</w:t>
      </w:r>
    </w:p>
    <w:p>
      <w:pPr>
        <w:spacing w:after="140"/>
      </w:pPr>
      <w:r>
        <w:rPr>
          <w:b/>
          <w:bCs/>
        </w:rPr>
        <w:t>Purpose: Issue the enrollment form, confirm the student's Course/Major, evaluate prior standing, and set the term's subject load.</w:t>
      </w:r>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Student lines up, receives the enrollment form, and fills in the required personal and term information.</w:t>
      </w:r>
    </w:p>
    <w:p>
      <w:pPr>
        <w:pStyle w:val="ListParagraph"/>
        <w:numPr>
          <w:ilvl w:val="0"/>
          <w:numId w:val="1"/>
        </w:numPr>
        <w:spacing w:after="70"/>
      </w:pPr>
      <w:r>
        <w:t>Board-course continuing students (2nd–5th year) first take the retention exam (see the Decision below) before the enrollment form is issued and evaluated.</w:t>
      </w:r>
    </w:p>
    <w:p>
      <w:pPr>
        <w:pStyle w:val="ListParagraph"/>
        <w:numPr>
          <w:ilvl w:val="0"/>
          <w:numId w:val="1"/>
        </w:numPr>
        <w:spacing w:after="70"/>
      </w:pPr>
      <w:r>
        <w:t>Transferee/shifter: bring prior academic records for crediting. Some colleges may also ask for the prior term's clearance here (optional at this phase; it becomes mandatory at the Registrar, see Phase 5).</w:t>
      </w:r>
    </w:p>
    <w:p>
      <w:pPr>
        <w:pStyle w:val="Heading3"/>
        <w:spacing w:after="100" w:before="200"/>
      </w:pPr>
      <w:r>
        <w:t xml:space="preserve">Internal (Staff, Office, and System Actions/Decisions)</w:t>
      </w:r>
    </w:p>
    <w:p>
      <w:pPr>
        <w:pStyle w:val="ListParagraph"/>
        <w:numPr>
          <w:ilvl w:val="0"/>
          <w:numId w:val="1"/>
        </w:numPr>
        <w:spacing w:after="70"/>
      </w:pPr>
      <w:r>
        <w:t>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Student receives back the tracking form (the Enrollment Certificate and Subject Load slip are issued in Phase 6).</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Phase 6 — Registrar Final: Documents, Certificates, and Blocks</w:t>
      </w:r>
    </w:p>
    <w:p>
      <w:pPr>
        <w:spacing w:after="140"/>
      </w:pPr>
      <w:r>
        <w:rPr>
          <w:b/>
          <w:bCs/>
        </w:rPr>
        <w:t>Purpose: Print the Subject Load and Enrollment Certificate, assign the student to a block, and finalize their class schedule.</w:t>
      </w:r>
      <w:r/>
    </w:p>
    <w:p>
      <w:pPr>
        <w:spacing w:after="140"/>
      </w:pPr>
      <w:r>
        <w:rPr>
          <w:b/>
          <w:bCs/>
        </w:rPr>
        <w:t>Who performs it: Registrar staff (document printing); Academic Department staff (block assignment); the student.</w:t>
      </w:r>
      <w:r/>
    </w:p>
    <w:p>
      <w:pPr>
        <w:pStyle w:val="Heading3"/>
        <w:spacing w:after="100" w:before="200"/>
      </w:pPr>
      <w:r>
        <w:t xml:space="preserve">External (Applicant / Student / Third Party)</w:t>
      </w:r>
    </w:p>
    <w:p>
      <w:pPr>
        <w:pStyle w:val="ListParagraph"/>
        <w:numPr>
          <w:ilvl w:val="0"/>
          <w:numId w:val="1"/>
        </w:numPr>
        <w:spacing w:after="70"/>
      </w:pPr>
      <w:r>
        <w:t>Student receives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Action: print the Subject Load and Enrollment Certificate, recording a DocumentPrintLog row per print (documentType 'subjectLoad'/'certificate').</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The Subject Load and Enrollment Certificate are printed and logged in DocumentPrintLog; EnrolledSubjects rows (created in Phase 1, confirmed in Phase 5) are updated here to point at a specific Blocks and Schedules row each — no new EnrolledSubjects rows are created, only linked.</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 xml:space="preserve">Who performs it:</w:t>
      </w:r>
      <w:r>
        <w:t xml:space="preserve"> JZEL Printing Services (external vendor, card production); Safety and Security (internal, validation and tracking-form signature).</w:t>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 xml:space="preserve">Student proceeds to Safety and Security, is photographed again (a separate, security-specific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 xml:space="preserve">Action: Safety and Security updates that same StudentIds row — securityPhotoPath, validatedBy, validatedDate, validationStatus → 'active'.</w:t>
      </w:r>
    </w:p>
    <w:p>
      <w:pPr>
        <w:pStyle w:val="ListParagraph"/>
        <w:numPr>
          <w:ilvl w:val="0"/>
          <w:numId w:val="1"/>
        </w:numPr>
        <w:spacing w:after="70"/>
      </w:pPr>
      <w:r>
        <w:t xml:space="preserve">Action: the final WorkflowSteps row is recorded for Safety and Security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p>
      <w:pPr>
        <w:pStyle w:val="Heading2"/>
        <w:spacing w:after="140" w:before="280"/>
      </w:pPr>
      <w:r>
        <w:t>Phase 9 — Mid-Course Qualifying Exam (Conditional)</w:t>
      </w:r>
    </w:p>
    <w:p>
      <w:pPr>
        <w:spacing w:after="140"/>
      </w:pPr>
      <w:r>
        <w:rPr>
          <w:b/>
          <w:bCs/>
        </w:rPr>
        <w:t xml:space="preserve">Purpose:</w:t>
      </w:r>
      <w:r>
        <w:t xml:space="preserve"> Gate advancement to a later year level for Courses that require it.</w:t>
      </w:r>
    </w:p>
    <w:p>
      <w:pPr>
        <w:spacing w:after="140"/>
      </w:pPr>
      <w:r>
        <w:rPr>
          <w:b/>
          <w:bCs/>
        </w:rPr>
        <w:t xml:space="preserve">Who performs it:</w:t>
      </w:r>
      <w:r>
        <w:t xml:space="preserve"> Whichever office administers the exam; the student.</w:t>
      </w:r>
    </w:p>
    <w:p>
      <w:pPr>
        <w:pStyle w:val="Heading3"/>
        <w:spacing w:after="100" w:before="200"/>
      </w:pPr>
      <w:r>
        <w:t xml:space="preserve">External (Applicant / Student / Third Party)</w:t>
      </w:r>
    </w:p>
    <w:p>
      <w:pPr>
        <w:pStyle w:val="ListParagraph"/>
        <w:numPr>
          <w:ilvl w:val="0"/>
          <w:numId w:val="1"/>
        </w:numPr>
        <w:spacing w:after="70"/>
      </w:pPr>
      <w:r>
        <w:t>Student takes the mid-course qualifying exam before advancing to the relevant year level. (The retention exam is not part of this phase — continuing board-course students take it in Phase 1, before the enrollment form.)</w:t>
      </w:r>
    </w:p>
    <w:p>
      <w:pPr>
        <w:pStyle w:val="Heading3"/>
        <w:spacing w:after="100" w:before="200"/>
      </w:pPr>
      <w:r>
        <w:t xml:space="preserve">Internal (Staff, Office, and System Actions/Decisions)</w:t>
      </w:r>
    </w:p>
    <w:p>
      <w:pPr>
        <w:pStyle w:val="ListParagraph"/>
        <w:numPr>
          <w:ilvl w:val="0"/>
          <w:numId w:val="1"/>
        </w:numPr>
        <w:spacing w:after="70"/>
      </w:pPr>
      <w:r>
        <w:t>Action: record the result as an ExamResults row, tagged examStage='midCourseQualifying'.</w:t>
      </w:r>
    </w:p>
    <w:p>
      <w:pPr>
        <w:pStyle w:val="ListParagraph"/>
        <w:numPr>
          <w:ilvl w:val="0"/>
          <w:numId w:val="1"/>
        </w:numPr>
        <w:spacing w:after="70"/>
      </w:pPr>
      <w:r>
        <w:t xml:space="preserve">Decision: a failed result can be checked before a future Enrollments row for the next year level is allowed to proceed.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Structurally identical to Phase 0.5's entrance exam — same table, different examStage value, distinguishing the two without needing two different tables (entrance exams additionally use examType to separate the Guidance general exam from the department course-specific exam).</w:t>
      </w:r>
    </w:p>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0.5(if applicable) → 1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and any exam phases;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1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 xml:space="preserve">One row per degree program — named "Course" to match the school's own terminology. Carries independent flags for whether an entrance exam and/or mid-course qualifying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requiresQualifyingExam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 xml:space="preserve">Records of entrance and mid-course qualifying exam results, for the Courses that require either. Role in workflow: an entrance exam result can gate Admission; a qualifying exam result can gate advancement to a later year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 xml:space="preserve">Card production (external, via JZEL) and validation (internal, Safety and Security).</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 xml:space="preserve">The card as a system record — QR value and validation state, starting "pendingValidation" until Safety and Security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