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 xml:space="preserve">Student receives back the tracking form and the official Enrollment Certificate/Subject Load slip.</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 xml:space="preserve">Phase 6 — Academic Department: Blocking and Scheduling</w:t>
      </w:r>
    </w:p>
    <w:p>
      <w:pPr>
        <w:spacing w:after="140"/>
      </w:pPr>
      <w:r>
        <w:rPr>
          <w:b/>
          <w:bCs/>
        </w:rPr>
        <w:t>Purpose: Assign the student to a block and finalize their class schedule.</w:t>
      </w:r>
      <w:r/>
    </w:p>
    <w:p>
      <w:pPr>
        <w:spacing w:after="140"/>
      </w:pPr>
      <w:r>
        <w:rPr>
          <w:b/>
          <w:bCs/>
        </w:rPr>
        <w:t xml:space="preserve">Who performs it:</w:t>
      </w:r>
      <w:r>
        <w:t xml:space="preserve"> Academic Department staff.</w:t>
      </w:r>
    </w:p>
    <w:p>
      <w:pPr>
        <w:pStyle w:val="Heading3"/>
        <w:spacing w:after="100" w:before="200"/>
      </w:pPr>
      <w:r>
        <w:t xml:space="preserve">External (Applicant / Student / Third Party)</w:t>
      </w:r>
    </w:p>
    <w:p>
      <w:pPr>
        <w:pStyle w:val="ListParagraph"/>
        <w:numPr>
          <w:ilvl w:val="0"/>
          <w:numId w:val="1"/>
        </w:numPr>
        <w:spacing w:after="70"/>
      </w:pPr>
      <w:r>
        <w:t xml:space="preserve">None — this phase happens entirely within the school's own systems, without a corresponding student action.</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w:t>
      </w:r>
    </w:p>
    <w:p>
      <w:pPr>
        <w:pStyle w:val="ListParagraph"/>
        <w:numPr>
          <w:ilvl w:val="0"/>
          <w:numId w:val="1"/>
        </w:numPr>
        <w:spacing w:after="70"/>
      </w:pPr>
      <w:r>
        <w:t xml:space="preserve">Action: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(already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Phase 9 — Mid-Course Qualifying Exam (Conditional)</w:t>
      </w:r>
    </w:p>
    <w:p>
      <w:pPr>
        <w:spacing w:after="140"/>
      </w:pPr>
      <w:r>
        <w:rPr>
          <w:b/>
          <w:bCs/>
        </w:rPr>
        <w:t xml:space="preserve">Purpose:</w:t>
      </w:r>
      <w:r>
        <w:t xml:space="preserve"> Gate advancement to a later year level for Courses that require it.</w:t>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Student takes the mid-course qualifying exam before advancing to the relevant year level. (The retention exam is not part of this phase — continuing board-course students take it in Phase 1, before the enrollment form.)</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Structurally identical to Phase 0.5's entrance exam — same table, different examStage value, distinguishing the two without needing two different tables (entrance exams additionally use examType to separate the Guidance general exam from the department course-specific exam).</w:t>
      </w:r>
    </w:p>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 xml:space="preserve">DocumentPrintLog  (OPTIONAL)</w:t>
      </w:r>
    </w:p>
    <w:p>
      <w:pPr>
        <w:spacing w:after="140"/>
      </w:pPr>
      <w:r>
        <w:t xml:space="preserve">Tracks reprints of certificates/subject cards for verification/anti-fraud purposes. Optional — only worth it if reprint fraud has been a real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