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46 tables, 78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p>
      <w:pPr>
        <w:pStyle w:val="Heading2"/>
        <w:spacing w:after="140" w:before="280"/>
      </w:pPr>
      <w:r>
        <w:t xml:space="preserve">Phase 1 — Academic Department Evaluation</w:t>
      </w:r>
    </w:p>
    <w:p>
      <w:pPr>
        <w:spacing w:after="140"/>
      </w:pPr>
      <w:r>
        <w:rPr>
          <w:b/>
          <w:bCs/>
        </w:rPr>
        <w:t>Purpose: Issue the enrollment form, confirm the student's Course/Major, evaluate prior standing, and set the term's subject load.</w:t>
      </w:r>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Student lines up, receives the enrollment form, and fills in the required personal and term information.</w:t>
      </w:r>
    </w:p>
    <w:p>
      <w:pPr>
        <w:pStyle w:val="ListParagraph"/>
        <w:numPr>
          <w:ilvl w:val="0"/>
          <w:numId w:val="1"/>
        </w:numPr>
        <w:spacing w:after="70"/>
      </w:pPr>
      <w:r>
        <w:t>Board-course continuing students (2nd–5th year) first take the retention exam (see the Decision below) before the enrollment form is issued and evaluated.</w:t>
      </w:r>
    </w:p>
    <w:p>
      <w:pPr>
        <w:pStyle w:val="ListParagraph"/>
        <w:numPr>
          <w:ilvl w:val="0"/>
          <w:numId w:val="1"/>
        </w:numPr>
        <w:spacing w:after="70"/>
      </w:pPr>
      <w:r>
        <w:t>Transferee/shifter: bring prior academic records for crediting. Some colleges may also ask for the prior term's clearance here (optional at this phase; it becomes mandatory at the Registrar, see Phase 5).</w:t>
      </w:r>
    </w:p>
    <w:p>
      <w:pPr>
        <w:pStyle w:val="Heading3"/>
        <w:spacing w:after="100" w:before="200"/>
      </w:pPr>
      <w:r>
        <w:t xml:space="preserve">Internal (Staff, Office, and System Actions/Decisions)</w:t>
      </w:r>
    </w:p>
    <w:p>
      <w:pPr>
        <w:pStyle w:val="ListParagraph"/>
        <w:numPr>
          <w:ilvl w:val="0"/>
          <w:numId w:val="1"/>
        </w:numPr>
        <w:spacing w:after="70"/>
      </w:pPr>
      <w:r>
        <w:t>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Student receives back the tracking form (the Enrollment Certificate and Subject Load slip are issued in Phase 6).</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Phase 6 — Registrar Final: Documents, Certificates, and Blocks</w:t>
      </w:r>
    </w:p>
    <w:p>
      <w:pPr>
        <w:spacing w:after="140"/>
      </w:pPr>
      <w:r>
        <w:rPr>
          <w:b/>
          <w:bCs/>
        </w:rPr>
        <w:t>Purpose: Print the Subject Load and Enrollment Certificate, assign the student to a block, and finalize their class schedule.</w:t>
      </w:r>
      <w:r/>
    </w:p>
    <w:p>
      <w:pPr>
        <w:spacing w:after="140"/>
      </w:pPr>
      <w:r>
        <w:rPr>
          <w:b/>
          <w:bCs/>
        </w:rPr>
        <w:t>Who performs it: Registrar staff (document printing); Academic Department staff (block assignment); the student.</w:t>
      </w:r>
      <w:r/>
    </w:p>
    <w:p>
      <w:pPr>
        <w:pStyle w:val="Heading3"/>
        <w:spacing w:after="100" w:before="200"/>
      </w:pPr>
      <w:r>
        <w:t xml:space="preserve">External (Applicant / Student / Third Party)</w:t>
      </w:r>
    </w:p>
    <w:p>
      <w:pPr>
        <w:pStyle w:val="ListParagraph"/>
        <w:numPr>
          <w:ilvl w:val="0"/>
          <w:numId w:val="1"/>
        </w:numPr>
        <w:spacing w:after="70"/>
      </w:pPr>
      <w:r>
        <w:t>Student receives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Action: print the Subject Load and Enrollment Certificate, recording a DocumentPrintLog row per print (documentType 'subjectLoad'/'certificate').</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The Subject Load and Enrollment Certificate are printed and logged in DocumentPrintLog; EnrolledSubjects rows (created in Phase 1, confirmed in Phase 5) are updated here to point at a specific Blocks and Schedules row each — no new EnrolledSubjects rows are created, only linked.</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Who performs it: JZEL Printing Services (external vendor, card production); ID Office (internal, validation and tracking-form signature).</w:t>
      </w:r>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Student proceeds to the ID Office, is photographed again (a separate, ID-specific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Action: ID Office updates that same StudentIds row — securityPhotoPath, validatedBy, validatedDate, validationStatus → 'active'.</w:t>
      </w:r>
    </w:p>
    <w:p>
      <w:pPr>
        <w:pStyle w:val="ListParagraph"/>
        <w:numPr>
          <w:ilvl w:val="0"/>
          <w:numId w:val="1"/>
        </w:numPr>
        <w:spacing w:after="70"/>
      </w:pPr>
      <w:r>
        <w:t>Action: the final WorkflowSteps row is recorded for the ID Office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0 → 0.5(if applicable) → 1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Skips Admission and the entrance exam; board-course continuing students take the Retention Exam before Phase 1;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0 → 1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One row per degree program — named "Course" to match the school's own terminology. Carries independent flags for whether an entrance exam and/or retention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requiresRetentionExam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Records of entrance and retention exam results, for the Courses that require either. Role in workflow: an entrance exam result can gate Admission; a retention exam result gates the enrollment form for continuing board-course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Card production (external, via JZEL) and validation (internal, ID Office).</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The card as a system record — QR value and validation state, starting "pendingValidation" until the ID Office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