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46 tables, 78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This system digitalizes a face-to-face enrollment process at SEAIT, without changing the process itself — every physical step (submitting documents at a window, obtaining a signature, paying at Accounting)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Purpose: Gate admission for board Courses that require it, in two stages — a general entrance exam administered by the Guidance Office, then a course-specific exam administered by the Academic Department.</w:t>
      </w:r>
      <w:r/>
    </w:p>
    <w:p>
      <w:pPr>
        <w:spacing w:after="140"/>
      </w:pPr>
      <w:r>
        <w:rPr>
          <w:b/>
          <w:bCs/>
        </w:rPr>
        <w:t>Who performs it: Guidance Office (general entrance exam); Academic Department (course-specific entrance exam); the applicant.</w:t>
      </w:r>
      <w:r/>
    </w:p>
    <w:p>
      <w:pPr>
        <w:pStyle w:val="Heading3"/>
        <w:spacing w:after="100" w:before="200"/>
      </w:pPr>
      <w:r>
        <w:t xml:space="preserve">External (Applicant / Student / Third Party)</w:t>
      </w:r>
    </w:p>
    <w:p>
      <w:pPr>
        <w:pStyle w:val="ListParagraph"/>
        <w:numPr>
          <w:ilvl w:val="0"/>
          <w:numId w:val="1"/>
        </w:numPr>
        <w:spacing w:after="70"/>
      </w:pPr>
      <w:r>
        <w:t>Applicant takes the general entrance exam administered by the Guidance Office, then — for board courses — the course-specific exam administered by the Academic Department, on the schedules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each stage as its own ExamResults row — examStage='entrance' with examType='general' (Guidance Office) or examType='courseSpecific' (Academic Department).</w:t>
      </w:r>
    </w:p>
    <w:p>
      <w:pPr>
        <w:pStyle w:val="ListParagraph"/>
        <w:numPr>
          <w:ilvl w:val="0"/>
          <w:numId w:val="1"/>
        </w:numPr>
        <w:spacing w:after="70"/>
      </w:pPr>
      <w:r>
        <w:t>Decision: the Academic Department must pull and verify the Guidance general-exam result before the applicant is allowed to take the course-specific exam; a failed result at either stage is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(board courses); for every other Course this phase is skipped entirely. Board-course applicants produce two ExamResults rows (general + courseSpecific), both under examStage='entrance'.</w:t>
      </w:r>
    </w:p>
    <w:p>
      <w:pPr>
        <w:pStyle w:val="Heading2"/>
        <w:spacing w:after="140" w:before="280"/>
      </w:pPr>
      <w:r>
        <w:t xml:space="preserve">Phase 1 — Academic Department Evaluation</w:t>
      </w:r>
    </w:p>
    <w:p>
      <w:pPr>
        <w:spacing w:after="140"/>
      </w:pPr>
      <w:r>
        <w:rPr>
          <w:b/>
          <w:bCs/>
        </w:rPr>
        <w:t>Purpose: Issue the enrollment form, confirm the student's Course/Major, evaluate prior standing, and set the term's subject load.</w:t>
      </w:r>
      <w:r/>
    </w:p>
    <w:p>
      <w:pPr>
        <w:spacing w:after="140"/>
      </w:pPr>
      <w:r>
        <w:rPr>
          <w:b/>
          <w:bCs/>
        </w:rPr>
        <w:t xml:space="preserve">Who performs it:</w:t>
      </w:r>
      <w:r>
        <w:t xml:space="preserve"> Academic Department staff (evaluator); the student (presenting clearance/prior records as applicable).</w:t>
      </w:r>
    </w:p>
    <w:p>
      <w:pPr>
        <w:pStyle w:val="Heading3"/>
        <w:spacing w:after="100" w:before="200"/>
      </w:pPr>
      <w:r>
        <w:t xml:space="preserve">External (Applicant / Student / Third Party)</w:t>
      </w:r>
    </w:p>
    <w:p>
      <w:pPr>
        <w:pStyle w:val="ListParagraph"/>
        <w:numPr>
          <w:ilvl w:val="0"/>
          <w:numId w:val="1"/>
        </w:numPr>
        <w:spacing w:after="70"/>
      </w:pPr>
      <w:r>
        <w:t>Student lines up, receives the enrollment form, and fills in the required personal and term information.</w:t>
      </w:r>
    </w:p>
    <w:p>
      <w:pPr>
        <w:pStyle w:val="ListParagraph"/>
        <w:numPr>
          <w:ilvl w:val="0"/>
          <w:numId w:val="1"/>
        </w:numPr>
        <w:spacing w:after="70"/>
      </w:pPr>
      <w:r>
        <w:t>Board-course continuing students (2nd–5th year) first take the retention exam (see the Decision below) before the enrollment form is issued and evaluated.</w:t>
      </w:r>
    </w:p>
    <w:p>
      <w:pPr>
        <w:pStyle w:val="ListParagraph"/>
        <w:numPr>
          <w:ilvl w:val="0"/>
          <w:numId w:val="1"/>
        </w:numPr>
        <w:spacing w:after="70"/>
      </w:pPr>
      <w:r>
        <w:t>Transferee/shifter: bring prior academic records for crediting. Some colleges may also ask for the prior term's clearance here (optional at this phase; it becomes mandatory at the Registrar, see Phase 5).</w:t>
      </w:r>
    </w:p>
    <w:p>
      <w:pPr>
        <w:pStyle w:val="Heading3"/>
        <w:spacing w:after="100" w:before="200"/>
      </w:pPr>
      <w:r>
        <w:t xml:space="preserve">Internal (Staff, Office, and System Actions/Decisions)</w:t>
      </w:r>
    </w:p>
    <w:p>
      <w:pPr>
        <w:pStyle w:val="ListParagraph"/>
        <w:numPr>
          <w:ilvl w:val="0"/>
          <w:numId w:val="1"/>
        </w:numPr>
        <w:spacing w:after="70"/>
      </w:pPr>
      <w:r>
        <w:t>Decision: for continuing/irregular students in board courses, check the retention exam result (ExamResults with examStage='retention') first — a failed result blocks the enrollment form. Then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pPr>
        <w:pStyle w:val="ListParagraph"/>
        <w:numPr>
          <w:ilvl w:val="0"/>
          <w:numId w:val="1"/>
        </w:numPr>
        <w:spacing w:after="70"/>
      </w:pPr>
      <w:r>
        <w:t>Action: record the evaluator on Enrollments.evaluatedBy; the evaluator signs the enrollment form with the subject load.</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2 — Clearance Verification (Continuing and Irregular Students)</w:t>
      </w:r>
    </w:p>
    <w:p>
      <w:pPr>
        <w:spacing w:after="140"/>
      </w:pPr>
      <w:r>
        <w:rPr>
          <w:b/>
          <w:bCs/>
        </w:rPr>
        <w:t xml:space="preserve">Purpose:</w:t>
      </w:r>
      <w:r>
        <w:t xml:space="preserve"> Confirm the student has no outstanding obligations from the term that just ended, before they're allowed to proceed.</w:t>
      </w:r>
    </w:p>
    <w:p>
      <w:pPr>
        <w:spacing w:after="140"/>
      </w:pPr>
      <w:r>
        <w:rPr>
          <w:b/>
          <w:bCs/>
        </w:rPr>
        <w:t xml:space="preserve">Who performs it:</w:t>
      </w:r>
      <w:r>
        <w:t xml:space="preserve"> Safety and Security, SSC, Library, Scholarship Office, and the Dean/Program Head desk (whichever applies) sign; Registrar ultimately receives the completed form.</w:t>
      </w:r>
    </w:p>
    <w:p>
      <w:pPr>
        <w:pStyle w:val="Heading3"/>
        <w:spacing w:after="100" w:before="200"/>
      </w:pPr>
      <w:r>
        <w:t xml:space="preserve">External (Applicant / Student / Third Party)</w:t>
      </w:r>
    </w:p>
    <w:p>
      <w:pPr>
        <w:pStyle w:val="ListParagraph"/>
        <w:numPr>
          <w:ilvl w:val="0"/>
          <w:numId w:val="1"/>
        </w:numPr>
        <w:spacing w:after="70"/>
      </w:pPr>
      <w:r>
        <w:t xml:space="preserve">Student visits each of the five offices (in whatever order the school allows) to obtain a signature.</w:t>
      </w:r>
    </w:p>
    <w:p>
      <w:pPr>
        <w:pStyle w:val="ListParagraph"/>
        <w:numPr>
          <w:ilvl w:val="0"/>
          <w:numId w:val="1"/>
        </w:numPr>
        <w:spacing w:after="70"/>
      </w:pPr>
      <w:r>
        <w:t xml:space="preserve">Student submits the completed clearance form to the Registrar (see Phase 5) — the office keeps one copy, the student keeps the other (a printing detail, not two different records).</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t xml:space="preserve">Five ClearanceApprovals rows (one per required office) accumulate under a single StudentClearances row; the Registrar phase later checks that row's overallStatus rather than checking each office individually.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Who performs it: Scholarship Office (award verification); Accounting (if the fuller fee-calculation module is in use).</w:t>
      </w:r>
      <w:r/>
    </w:p>
    <w:p>
      <w:pPr>
        <w:pStyle w:val="Heading3"/>
        <w:spacing w:after="100" w:before="200"/>
      </w:pPr>
      <w:r>
        <w:t xml:space="preserve">External (Applicant / Student / Third Party)</w:t>
      </w:r>
    </w:p>
    <w:p>
      <w:pPr>
        <w:pStyle w:val="ListParagraph"/>
        <w:numPr>
          <w:ilvl w:val="0"/>
          <w:numId w:val="1"/>
        </w:numPr>
        <w:spacing w:after="70"/>
      </w:pPr>
      <w:r>
        <w:t>Student may present scholarship documentation (first encounter) or simply be already on file from a prior term. At SEAIT, the school itself is a free-tuition school: every student is automatically covered by the School Grant (Free Tuition) ScholarshipType (100% coverage); outside grants stack on top, but total coverage cannot exceed 100%.</w:t>
      </w:r>
    </w:p>
    <w:p>
      <w:pPr>
        <w:pStyle w:val="Heading3"/>
        <w:spacing w:after="100" w:before="200"/>
      </w:pPr>
      <w:r>
        <w:t xml:space="preserve">Internal (Staff, Office, and System Actions/Decisions)</w:t>
      </w:r>
    </w:p>
    <w:p>
      <w:pPr>
        <w:pStyle w:val="ListParagraph"/>
        <w:numPr>
          <w:ilvl w:val="0"/>
          <w:numId w:val="1"/>
        </w:numPr>
        <w:spacing w:after="70"/>
      </w:pPr>
      <w:r>
        <w:t>Decision: every SEAIT student carries the School Grant (Free Tuition) award; check for any additional outside-grant StudentScholarships rows for this student and term, applied on top up to the 100% cap.</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Phase 4 — Accounting (Payment)</w:t>
      </w:r>
    </w:p>
    <w:p>
      <w:pPr>
        <w:spacing w:after="140"/>
      </w:pPr>
      <w:r>
        <w:rPr>
          <w:b/>
          <w:bCs/>
        </w:rPr>
        <w:t xml:space="preserve">Purpose:</w:t>
      </w:r>
      <w:r>
        <w:t xml:space="preserve"> Collect and record the enrollment fee (or remaining balance).</w:t>
      </w:r>
    </w:p>
    <w:p>
      <w:pPr>
        <w:spacing w:after="140"/>
      </w:pPr>
      <w:r>
        <w:rPr>
          <w:b/>
          <w:bCs/>
        </w:rPr>
        <w:t>Who performs it: Accounting staff; the student.</w:t>
      </w:r>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Action: record a WorkflowSteps row for Accounting.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rPr>
          <w:b/>
          <w:bCs/>
        </w:rPr>
        <w:t xml:space="preserve">Who performs it:</w:t>
      </w:r>
      <w:r>
        <w:t xml:space="preserve"> Registrar staff; the student (submitting the enrollment form, clearance form, and — for first-years — PSA certificate).</w:t>
      </w:r>
    </w:p>
    <w:p>
      <w:pPr>
        <w:pStyle w:val="Heading3"/>
        <w:spacing w:after="100" w:before="200"/>
      </w:pPr>
      <w:r>
        <w:t xml:space="preserve">External (Applicant / Student / Third Party)</w:t>
      </w:r>
    </w:p>
    <w:p>
      <w:pPr>
        <w:pStyle w:val="ListParagraph"/>
        <w:numPr>
          <w:ilvl w:val="0"/>
          <w:numId w:val="1"/>
        </w:numPr>
        <w:spacing w:after="70"/>
      </w:pPr>
      <w:r>
        <w:t xml:space="preserve">Student submits the enrollment form, tracking form, clearance (if applicable), and PSA (first-years) for verification.</w:t>
      </w:r>
    </w:p>
    <w:p>
      <w:pPr>
        <w:pStyle w:val="ListParagraph"/>
        <w:numPr>
          <w:ilvl w:val="0"/>
          <w:numId w:val="1"/>
        </w:numPr>
        <w:spacing w:after="70"/>
      </w:pPr>
      <w:r>
        <w:t>Student receives back the tracking form (the Enrollment Certificate and Subject Load slip are issued in Phase 6).</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verify Payments and (for continuing/irregular students) StudentClearances.overallStatus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Heading3"/>
        <w:spacing w:after="100" w:before="200"/>
      </w:pPr>
      <w:r>
        <w:t xml:space="preserve">Data Flow</w:t>
      </w:r>
    </w:p>
    <w:p>
      <w:pPr>
        <w:spacing w:after="140"/>
      </w:pPr>
      <w:r>
        <w:t xml:space="preserve">No new tables are created here — this phase is almost entirely status transitions on rows already created in Phases 1 and 4, which is why it can be a single verification step rather than its own data-entry-heavy stage.</w:t>
      </w:r>
    </w:p>
    <w:p>
      <w:pPr>
        <w:pStyle w:val="Heading2"/>
        <w:spacing w:after="140" w:before="280"/>
      </w:pPr>
      <w:r>
        <w:t>Phase 6 — Registrar Final: Documents, Certificates, and Blocks</w:t>
      </w:r>
    </w:p>
    <w:p>
      <w:pPr>
        <w:spacing w:after="140"/>
      </w:pPr>
      <w:r>
        <w:rPr>
          <w:b/>
          <w:bCs/>
        </w:rPr>
        <w:t>Purpose: Print the Subject Load and Enrollment Certificate, assign the student to a block, and finalize their class schedule.</w:t>
      </w:r>
      <w:r/>
    </w:p>
    <w:p>
      <w:pPr>
        <w:spacing w:after="140"/>
      </w:pPr>
      <w:r>
        <w:rPr>
          <w:b/>
          <w:bCs/>
        </w:rPr>
        <w:t>Who performs it: Registrar staff (document printing); Academic Department staff (block assignment); the student.</w:t>
      </w:r>
      <w:r/>
    </w:p>
    <w:p>
      <w:pPr>
        <w:pStyle w:val="Heading3"/>
        <w:spacing w:after="100" w:before="200"/>
      </w:pPr>
      <w:r>
        <w:t xml:space="preserve">External (Applicant / Student / Third Party)</w:t>
      </w:r>
    </w:p>
    <w:p>
      <w:pPr>
        <w:pStyle w:val="ListParagraph"/>
        <w:numPr>
          <w:ilvl w:val="0"/>
          <w:numId w:val="1"/>
        </w:numPr>
        <w:spacing w:after="70"/>
      </w:pPr>
      <w:r>
        <w:t>Student receives the printed Subject Load and Enrollment Certificate.</w:t>
      </w:r>
    </w:p>
    <w:p>
      <w:pPr>
        <w:pStyle w:val="Heading3"/>
        <w:spacing w:after="100" w:before="200"/>
      </w:pPr>
      <w:r>
        <w:t xml:space="preserve">Internal (Staff, Office, and System Actions/Decisions)</w:t>
      </w:r>
    </w:p>
    <w:p>
      <w:pPr>
        <w:pStyle w:val="ListParagraph"/>
        <w:numPr>
          <w:ilvl w:val="0"/>
          <w:numId w:val="1"/>
        </w:numPr>
        <w:spacing w:after="70"/>
      </w:pPr>
      <w:r>
        <w:t>Action: print the Subject Load and Enrollment Certificate, recording a DocumentPrintLog row per print (documentType 'subjectLoad'/'certificate').</w:t>
      </w:r>
    </w:p>
    <w:p>
      <w:pPr>
        <w:pStyle w:val="ListParagraph"/>
        <w:numPr>
          <w:ilvl w:val="0"/>
          <w:numId w:val="1"/>
        </w:numPr>
        <w:spacing w:after="70"/>
      </w:pPr>
      <w:r>
        <w:t>Action: assign the student's EnrolledSubjects rows to a Blocks row for their year level/Course/term; each subject links to a Schedules row (instructor, room), which in turn has one or more ScheduleMeetings rows (since a subject can meet on different days at different times).</w:t>
      </w:r>
    </w:p>
    <w:p>
      <w:pPr>
        <w:pStyle w:val="ListParagraph"/>
        <w:numPr>
          <w:ilvl w:val="0"/>
          <w:numId w:val="1"/>
        </w:numPr>
        <w:spacing w:after="70"/>
      </w:pPr>
      <w:r>
        <w:t xml:space="preserve">Action: record a second WorkflowSteps row for the Academic Department (this time for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 courseId, termId, yearLevel, blockName,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scheduleId, blockId,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Schedules.blockId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EnrolledSubjects.blockId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The Subject Load and Enrollment Certificate are printed and logged in DocumentPrintLog; EnrolledSubjects rows (created in Phase 1, confirmed in Phase 5) are updated here to point at a specific Blocks and Schedules row each — no new EnrolledSubjects rows are created, only linked.</w:t>
      </w:r>
    </w:p>
    <w:p>
      <w:pPr>
        <w:pStyle w:val="Heading2"/>
      </w:pPr>
      <w:r>
        <w:t>Phase 7 — Clinic: Health Assessment and PhilHealth Registration</w:t>
      </w:r>
    </w:p>
    <w:p>
      <w:r>
        <w:t>Purpose: Perform the physical examination and health assessments, record height/weight/blood pressure,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weight, and blood pressure are measured and recorded during the physical examination.</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Release and Validation</w:t>
      </w:r>
    </w:p>
    <w:p>
      <w:pPr>
        <w:spacing w:after="140"/>
      </w:pPr>
      <w:r>
        <w:rPr>
          <w:b/>
          <w:bCs/>
        </w:rPr>
        <w:t xml:space="preserve">Purpose:</w:t>
      </w:r>
      <w:r>
        <w:t xml:space="preserve"> Produce and validate a physical, scannable student ID.</w:t>
      </w:r>
    </w:p>
    <w:p>
      <w:pPr>
        <w:spacing w:after="140"/>
      </w:pPr>
      <w:r>
        <w:rPr>
          <w:b/>
          <w:bCs/>
        </w:rPr>
        <w:t xml:space="preserve">Who performs it:</w:t>
      </w:r>
      <w:r>
        <w:t xml:space="preserve"> JZEL Printing Services (external vendor, card production); Safety and Security (internal, validation and tracking-form signature).</w:t>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 xml:space="preserve">Student proceeds to Safety and Security, is photographed again (a separate, security-specific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 xml:space="preserve">Action: Safety and Security updates that same StudentIds row — securityPhotoPath, validatedBy, validatedDate, validationStatus → 'active'.</w:t>
      </w:r>
    </w:p>
    <w:p>
      <w:pPr>
        <w:pStyle w:val="ListParagraph"/>
        <w:numPr>
          <w:ilvl w:val="0"/>
          <w:numId w:val="1"/>
        </w:numPr>
        <w:spacing w:after="70"/>
      </w:pPr>
      <w:r>
        <w:t xml:space="preserve">Action: the final WorkflowSteps row is recorded for Safety and Security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0.5(if applicable) → 1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 admission requirements apply; no Phase 2 (no prior term to clear).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and any exam phases; must clear Phase 2 before Phase 1 can complete.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Same path as Continuing, but Phase 1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1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Goes through Admission like a first-year, but Phase 1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like a continuing student, but Phase 1 evaluates their old program's completed subjects for CreditedSubjects.</w:t>
            </w:r>
          </w:p>
        </w:tc>
      </w:tr>
    </w:tbl>
    <w:p>
      <w:pPr>
        <w:pStyle w:val="Heading1"/>
        <w:spacing w:after="190" w:before="380"/>
      </w:pPr>
      <w:r>
        <w:t>3. Complete Data Dictionary (46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One row per degree program — named "Course" to match the school's own terminology. Carries independent flags for whether an entrance exam and/or retention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requiresRetentionExam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Records of entrance and retention exam results, for the Courses that require either. Role in workflow: an entrance exam result can gate Admission; a retention exam result gates the enrollment form for continuing board-course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EnrolledSubjects.enrollmentId (1:M); CreditedSubjects.enrollmentId (1:M); StudentAssessments.enrollmentId (1:M); Payments.enrollmentId (1:M); IdRequests.enrollmentId (1:M); DocumentPrintLog.enrollmentId (1:M); EnrollmentWorkflow.enrollmentId (1:1)</w:t>
      </w:r>
    </w:p>
    <w:p>
      <w:pPr>
        <w:spacing w:after="140"/>
      </w:pPr>
      <w:r>
        <w:rPr>
          <w:sz w:val="2"/>
          <w:szCs w:val="2"/>
        </w:rPr>
        <w:t xml:space="preserve"/>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EnrolledSubjects.blockId (1:M); Schedules.blockId (1:M)</w:t>
      </w:r>
    </w:p>
    <w:p>
      <w:pPr>
        <w:spacing w:after="140"/>
      </w:pPr>
      <w:r>
        <w:rPr>
          <w:sz w:val="2"/>
          <w:szCs w:val="2"/>
        </w:rPr>
        <w:t xml:space="preserve"/>
      </w:r>
    </w:p>
    <w:p>
      <w:pPr>
        <w:pStyle w:val="Heading3"/>
        <w:spacing w:after="100" w:before="200"/>
      </w:pPr>
      <w:r>
        <w:t xml:space="preserve">Schedules</w:t>
      </w:r>
    </w:p>
    <w:p>
      <w:pPr>
        <w:spacing w:after="140"/>
      </w:pPr>
      <w:r>
        <w:t>One subject's assignment to a block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 xml:space="preserve">Card production (external, via JZEL) and validation (internal, Safety and Security).</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 xml:space="preserve">The card as a system record — QR value and validation state, starting "pendingValidation" until Safety and Security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 xml:space="preserve">Optional support for the online channel and document accountability.</w:t>
      </w:r>
    </w:p>
    <w:p>
      <w:pPr>
        <w:pStyle w:val="Heading3"/>
        <w:spacing w:after="100" w:before="200"/>
      </w:pPr>
      <w:r>
        <w:t>[REMOVED] Notifications</w:t>
      </w:r>
    </w:p>
    <w:p>
      <w:pPr>
        <w:spacing w:after="140"/>
      </w:pPr>
      <w:r>
        <w:t xml:space="preserve">Status-change messages to students. Optional — matters most once online support exists; face-to-face students are told in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DocumentPrintLog</w:t>
      </w:r>
    </w:p>
    <w:p>
      <w:pPr>
        <w:spacing w:after="140"/>
      </w:pPr>
      <w:r>
        <w:t>Tracks every print of the Subject Load and Enrollment Certificate (documentType: subjectLoad, classCard, certificate) — the digital record of the documents handed to the student in Phase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46 tables</w:t>
      </w:r>
    </w:p>
    <w:p>
      <w:pPr>
        <w:spacing w:after="140"/>
      </w:pPr>
      <w:r>
        <w:t xml:space="preserve">Forty-six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blockId/subjectId,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46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