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>
          <w:rFonts w:ascii="Open Sans" w:cs="Open Sans" w:eastAsia="Open Sans" w:hAnsi="Open Sans"/>
          <w:sz w:val="42"/>
          <w:szCs w:val="42"/>
        </w:rPr>
      </w:pPr>
      <w:bookmarkStart w:colFirst="0" w:colLast="0" w:name="_4j1w328wq937" w:id="0"/>
      <w:bookmarkEnd w:id="0"/>
      <w:r w:rsidDel="00000000" w:rsidR="00000000" w:rsidRPr="00000000">
        <w:rPr>
          <w:rFonts w:ascii="Open Sans" w:cs="Open Sans" w:eastAsia="Open Sans" w:hAnsi="Open Sans"/>
          <w:sz w:val="42"/>
          <w:szCs w:val="42"/>
          <w:rtl w:val="0"/>
        </w:rPr>
        <w:t xml:space="preserve">Property ROI Analysis Tool — Regression Open Questions and Next Actions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Artifact Type: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Open Questions Log / Next Actions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June 2026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Active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Manus AI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Related Artifacts: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Decisions Log V12, Regression Model Registry and Promotion Governance v1.0, Technical Specification V3 Regression Calibration Addendum</w:t>
      </w:r>
    </w:p>
    <w:p w:rsidR="00000000" w:rsidDel="00000000" w:rsidP="00000000" w:rsidRDefault="00000000" w:rsidRPr="00000000" w14:paraId="00000003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t5uzpmre0sbm" w:id="1"/>
      <w:bookmarkEnd w:id="1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1. Current State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regression workstream has moved from data-blocked to pipeline-runnable for the Greenville MVP market. The corrected Greenville comparable-sales fixture now supports a local smoke regression, and coefficients are reported to be exported into a versioned model registry artifact. The current model remains diagnostic-only and must not be used for seller-facing ROI recommendations.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next work should focus on model diagnostics, promotion-readiness criteria, and application guardrails rather than API expansion or recommendation-engine integration.</w:t>
      </w:r>
    </w:p>
    <w:p w:rsidR="00000000" w:rsidDel="00000000" w:rsidP="00000000" w:rsidRDefault="00000000" w:rsidRPr="00000000" w14:paraId="00000007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eb4o5q2kgpru" w:id="2"/>
      <w:bookmarkEnd w:id="2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2. Open Questions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Open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Recommended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What are the minimum acceptable model-quality thresholds for MVP promotion?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Without thresholds, approval would be subjective.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Product owner + modeling 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Which metrics are required: R², MAE, RMSE, MAPE, cross-validation, residual bias, or all of these?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Determines what the promotion-readiness checker must enforce.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Technical 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Should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log(price_per_sqft)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remain the primary target, or should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log(sale_amount)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with stronger size controls be compared?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Target choice affects coefficient interpretation and ROI relevance.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Modeling 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What residual-bias thresholds are acceptable by ZIP, price band, and size band?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Prevents a model that works on average but fails for important subsegments.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Product owner + modeling reviewer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What condition, renovation, or quality proxy fields can be sourced without excessive cost?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The current model lacks the variables most tied to pre-sale improvement ROI.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Product + data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Who has authority to set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approved_for_recommendations: true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Prevents accidental promotion of diagnostic models.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Should approved model artifacts remain file-based for MVP, or be promoted into database tables before launch?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Affects backend complexity, deployment, and auditability.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Technical 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Is Greenville the correct MVP calibration market, or only the first smoke-test market?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Prevents overfitting the product strategy around a convenience fixture.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RQ-REG-009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Should all 12 metros be repulled after diagnostics, or should the next pull be limited to target launch markets?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Controls API usage and data spend.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w8w192bla7bh" w:id="3"/>
      <w:bookmarkEnd w:id="3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3. Immediate Next Actions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Do Before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Add a promotion-readiness checker.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regression/output/model_promotion_readiness_report.json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Any approval discussion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Expand Greenville diagnostics.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Residuals by ZIP, price band, size band, sale period, and target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Any broader data pull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Define provisional promotion thresholds.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Decision-record update or model governance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Any model marked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candidate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Add recommendation-engine refusal tests for unapproved artifacts.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Test proving </w:t>
            </w:r>
            <w:r w:rsidDel="00000000" w:rsidR="00000000" w:rsidRPr="00000000">
              <w:rPr>
                <w:rFonts w:ascii="Open Sans" w:cs="Open Sans" w:eastAsia="Open Sans" w:hAnsi="Open Sans"/>
                <w:color w:val="188038"/>
                <w:sz w:val="24"/>
                <w:szCs w:val="24"/>
                <w:rtl w:val="0"/>
              </w:rPr>
              <w:t xml:space="preserve">diagnostic_only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models cannot be 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Any app integration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Review feature gaps after diagnostics.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Decision on whether to source condition/quality proxies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Any full-market repull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ghxnck8dzbps" w:id="4"/>
      <w:bookmarkEnd w:id="4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4. Explicitly Deferred Actions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Deferred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left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Full 12-metro repull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Diagnostics should first show whether broader data will solve the weak baseline fit.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Seller-facing recommendation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Current coefficients are diagnostic-only.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Automatic model approval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Manual review and decision logging are required.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Final database schema implementation for model coefficients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jc w:val="left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File-based registry is sufficient for the current pre-implementation phase.</w:t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yb9spbfq6w3n" w:id="5"/>
      <w:bookmarkEnd w:id="5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5. Recommended Cursor Task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next Cursor task should create a promotion-readiness checker without modifying or approving the current model.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Create regression/check_model_promotion_readiness.py.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should read model_registry/greenville_sc/hedonic_ppsf_v0_1.json and regression/output/greenville_smoke_regression_diagnostics.json.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should not approve the model or modify the artifact.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should evaluate configurable thresholds for minimum clean rows, minimum test R², maximum RMSE, required cross-validation metrics, required residual diagnostics, and required segment-bias checks.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It should output PASS, FAIL, or NEEDS_REVIEW to regression/output/model_promotion_readiness_report.json.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For the current v0.1 model, expect NEEDS_REVIEW or FAIL because the artifact is diagnostic-only and the smoke-test R² is low.</w:t>
      </w:r>
    </w:p>
    <w:p w:rsidR="00000000" w:rsidDel="00000000" w:rsidP="00000000" w:rsidRDefault="00000000" w:rsidRPr="00000000" w14:paraId="0000006C">
      <w:pPr>
        <w:pStyle w:val="Heading2"/>
        <w:spacing w:line="360" w:lineRule="auto"/>
        <w:rPr>
          <w:rFonts w:ascii="Open Sans" w:cs="Open Sans" w:eastAsia="Open Sans" w:hAnsi="Open Sans"/>
          <w:sz w:val="34"/>
          <w:szCs w:val="34"/>
        </w:rPr>
      </w:pPr>
      <w:bookmarkStart w:colFirst="0" w:colLast="0" w:name="_b9jfe7nyl2n" w:id="6"/>
      <w:bookmarkEnd w:id="6"/>
      <w:r w:rsidDel="00000000" w:rsidR="00000000" w:rsidRPr="00000000">
        <w:rPr>
          <w:rFonts w:ascii="Open Sans" w:cs="Open Sans" w:eastAsia="Open Sans" w:hAnsi="Open Sans"/>
          <w:sz w:val="34"/>
          <w:szCs w:val="34"/>
          <w:rtl w:val="0"/>
        </w:rPr>
        <w:t xml:space="preserve">6. Status Statement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The workstream is ready for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diagnostics and promotion-gate definition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. It is not ready for seller-facing ROI model integration.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