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Open Sans" w:cs="Open Sans" w:eastAsia="Open Sans" w:hAnsi="Open Sans"/>
          <w:sz w:val="44"/>
          <w:szCs w:val="44"/>
        </w:rPr>
      </w:pPr>
      <w:bookmarkStart w:colFirst="0" w:colLast="0" w:name="_39ofkyyt60tb" w:id="0"/>
      <w:bookmarkEnd w:id="0"/>
      <w:r w:rsidDel="00000000" w:rsidR="00000000" w:rsidRPr="00000000">
        <w:rPr>
          <w:rFonts w:ascii="Open Sans" w:cs="Open Sans" w:eastAsia="Open Sans" w:hAnsi="Open Sans"/>
          <w:sz w:val="44"/>
          <w:szCs w:val="44"/>
          <w:rtl w:val="0"/>
        </w:rPr>
        <w:t xml:space="preserve">Source Register V2 Merge Findings</w:t>
      </w:r>
    </w:p>
    <w:p w:rsidR="00000000" w:rsidDel="00000000" w:rsidP="00000000" w:rsidRDefault="00000000" w:rsidRPr="00000000" w14:paraId="00000002">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base document exists as </w:t>
      </w:r>
      <w:r w:rsidDel="00000000" w:rsidR="00000000" w:rsidRPr="00000000">
        <w:rPr>
          <w:rFonts w:ascii="Open Sans" w:cs="Open Sans" w:eastAsia="Open Sans" w:hAnsi="Open Sans"/>
          <w:color w:val="188038"/>
          <w:sz w:val="26"/>
          <w:szCs w:val="26"/>
          <w:rtl w:val="0"/>
        </w:rPr>
        <w:t xml:space="preserve">Property ROI Analysis Tool — Static Data Source Register and Download Checklist V1.doc</w:t>
      </w:r>
      <w:r w:rsidDel="00000000" w:rsidR="00000000" w:rsidRPr="00000000">
        <w:rPr>
          <w:rFonts w:ascii="Open Sans" w:cs="Open Sans" w:eastAsia="Open Sans" w:hAnsi="Open Sans"/>
          <w:sz w:val="26"/>
          <w:szCs w:val="26"/>
          <w:rtl w:val="0"/>
        </w:rPr>
        <w:t xml:space="preserve">. The V2 addendum exists as </w:t>
      </w:r>
      <w:r w:rsidDel="00000000" w:rsidR="00000000" w:rsidRPr="00000000">
        <w:rPr>
          <w:rFonts w:ascii="Open Sans" w:cs="Open Sans" w:eastAsia="Open Sans" w:hAnsi="Open Sans"/>
          <w:color w:val="188038"/>
          <w:sz w:val="26"/>
          <w:szCs w:val="26"/>
          <w:rtl w:val="0"/>
        </w:rPr>
        <w:t xml:space="preserve">Property ROI Analysis Tool — Static Data Source Register and Download Checklist V2 Addendum.md</w:t>
      </w:r>
      <w:r w:rsidDel="00000000" w:rsidR="00000000" w:rsidRPr="00000000">
        <w:rPr>
          <w:rFonts w:ascii="Open Sans" w:cs="Open Sans" w:eastAsia="Open Sans" w:hAnsi="Open Sans"/>
          <w:sz w:val="26"/>
          <w:szCs w:val="26"/>
          <w:rtl w:val="0"/>
        </w:rPr>
        <w:t xml:space="preserve">. Therefore, RG-SEQ-006 is not blocked by a missing base register.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newly added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is relevant and should be treated as an application-facing executable seed artifact. It contains two sheets: </w:t>
      </w:r>
      <w:r w:rsidDel="00000000" w:rsidR="00000000" w:rsidRPr="00000000">
        <w:rPr>
          <w:rFonts w:ascii="Open Sans" w:cs="Open Sans" w:eastAsia="Open Sans" w:hAnsi="Open Sans"/>
          <w:color w:val="188038"/>
          <w:sz w:val="26"/>
          <w:szCs w:val="26"/>
          <w:rtl w:val="0"/>
        </w:rPr>
        <w:t xml:space="preserve">Dependency Rules</w:t>
      </w:r>
      <w:r w:rsidDel="00000000" w:rsidR="00000000" w:rsidRPr="00000000">
        <w:rPr>
          <w:rFonts w:ascii="Open Sans" w:cs="Open Sans" w:eastAsia="Open Sans" w:hAnsi="Open Sans"/>
          <w:sz w:val="26"/>
          <w:szCs w:val="26"/>
          <w:rtl w:val="0"/>
        </w:rPr>
        <w:t xml:space="preserve"> and </w:t>
      </w:r>
      <w:r w:rsidDel="00000000" w:rsidR="00000000" w:rsidRPr="00000000">
        <w:rPr>
          <w:rFonts w:ascii="Open Sans" w:cs="Open Sans" w:eastAsia="Open Sans" w:hAnsi="Open Sans"/>
          <w:color w:val="188038"/>
          <w:sz w:val="26"/>
          <w:szCs w:val="26"/>
          <w:rtl w:val="0"/>
        </w:rPr>
        <w:t xml:space="preserve">Duration Lead Time Rules</w:t>
      </w:r>
      <w:r w:rsidDel="00000000" w:rsidR="00000000" w:rsidRPr="00000000">
        <w:rPr>
          <w:rFonts w:ascii="Open Sans" w:cs="Open Sans" w:eastAsia="Open Sans" w:hAnsi="Open Sans"/>
          <w:sz w:val="26"/>
          <w:szCs w:val="26"/>
          <w:rtl w:val="0"/>
        </w:rPr>
        <w:t xml:space="preserve">. Each sheet has 31 data rows. The dependency sheet has 31 rows with </w:t>
      </w:r>
      <w:r w:rsidDel="00000000" w:rsidR="00000000" w:rsidRPr="00000000">
        <w:rPr>
          <w:rFonts w:ascii="Open Sans" w:cs="Open Sans" w:eastAsia="Open Sans" w:hAnsi="Open Sans"/>
          <w:color w:val="188038"/>
          <w:sz w:val="26"/>
          <w:szCs w:val="26"/>
          <w:rtl w:val="0"/>
        </w:rPr>
        <w:t xml:space="preserve">review_status = pending</w:t>
      </w:r>
      <w:r w:rsidDel="00000000" w:rsidR="00000000" w:rsidRPr="00000000">
        <w:rPr>
          <w:rFonts w:ascii="Open Sans" w:cs="Open Sans" w:eastAsia="Open Sans" w:hAnsi="Open Sans"/>
          <w:sz w:val="26"/>
          <w:szCs w:val="26"/>
          <w:rtl w:val="0"/>
        </w:rPr>
        <w:t xml:space="preserve">; 9 rows reference </w:t>
      </w:r>
      <w:r w:rsidDel="00000000" w:rsidR="00000000" w:rsidRPr="00000000">
        <w:rPr>
          <w:rFonts w:ascii="Open Sans" w:cs="Open Sans" w:eastAsia="Open Sans" w:hAnsi="Open Sans"/>
          <w:color w:val="188038"/>
          <w:sz w:val="26"/>
          <w:szCs w:val="26"/>
          <w:rtl w:val="0"/>
        </w:rPr>
        <w:t xml:space="preserve">D-V11-003</w:t>
      </w:r>
      <w:r w:rsidDel="00000000" w:rsidR="00000000" w:rsidRPr="00000000">
        <w:rPr>
          <w:rFonts w:ascii="Open Sans" w:cs="Open Sans" w:eastAsia="Open Sans" w:hAnsi="Open Sans"/>
          <w:sz w:val="26"/>
          <w:szCs w:val="26"/>
          <w:rtl w:val="0"/>
        </w:rPr>
        <w:t xml:space="preserve"> and 22 rows have no decision reference. The duration/lead-time sheet has 31 rows, with 19 rows marked </w:t>
      </w:r>
      <w:r w:rsidDel="00000000" w:rsidR="00000000" w:rsidRPr="00000000">
        <w:rPr>
          <w:rFonts w:ascii="Open Sans" w:cs="Open Sans" w:eastAsia="Open Sans" w:hAnsi="Open Sans"/>
          <w:color w:val="188038"/>
          <w:sz w:val="26"/>
          <w:szCs w:val="26"/>
          <w:rtl w:val="0"/>
        </w:rPr>
        <w:t xml:space="preserve">pending</w:t>
      </w:r>
      <w:r w:rsidDel="00000000" w:rsidR="00000000" w:rsidRPr="00000000">
        <w:rPr>
          <w:rFonts w:ascii="Open Sans" w:cs="Open Sans" w:eastAsia="Open Sans" w:hAnsi="Open Sans"/>
          <w:sz w:val="26"/>
          <w:szCs w:val="26"/>
          <w:rtl w:val="0"/>
        </w:rPr>
        <w:t xml:space="preserve"> and 12 marked </w:t>
      </w:r>
      <w:r w:rsidDel="00000000" w:rsidR="00000000" w:rsidRPr="00000000">
        <w:rPr>
          <w:rFonts w:ascii="Open Sans" w:cs="Open Sans" w:eastAsia="Open Sans" w:hAnsi="Open Sans"/>
          <w:color w:val="188038"/>
          <w:sz w:val="26"/>
          <w:szCs w:val="26"/>
          <w:rtl w:val="0"/>
        </w:rPr>
        <w:t xml:space="preserve">estimated</w:t>
      </w:r>
      <w:r w:rsidDel="00000000" w:rsidR="00000000" w:rsidRPr="00000000">
        <w:rPr>
          <w:rFonts w:ascii="Open Sans" w:cs="Open Sans" w:eastAsia="Open Sans" w:hAnsi="Open Sans"/>
          <w:sz w:val="26"/>
          <w:szCs w:val="26"/>
          <w:rtl w:val="0"/>
        </w:rPr>
        <w:t xml:space="preserve">; 29 rows reference </w:t>
      </w:r>
      <w:r w:rsidDel="00000000" w:rsidR="00000000" w:rsidRPr="00000000">
        <w:rPr>
          <w:rFonts w:ascii="Open Sans" w:cs="Open Sans" w:eastAsia="Open Sans" w:hAnsi="Open Sans"/>
          <w:color w:val="188038"/>
          <w:sz w:val="26"/>
          <w:szCs w:val="26"/>
          <w:rtl w:val="0"/>
        </w:rPr>
        <w:t xml:space="preserve">D-V11-003</w:t>
      </w:r>
      <w:r w:rsidDel="00000000" w:rsidR="00000000" w:rsidRPr="00000000">
        <w:rPr>
          <w:rFonts w:ascii="Open Sans" w:cs="Open Sans" w:eastAsia="Open Sans" w:hAnsi="Open Sans"/>
          <w:sz w:val="26"/>
          <w:szCs w:val="26"/>
          <w:rtl w:val="0"/>
        </w:rPr>
        <w:t xml:space="preserve"> and 2 rows reference </w:t>
      </w:r>
      <w:r w:rsidDel="00000000" w:rsidR="00000000" w:rsidRPr="00000000">
        <w:rPr>
          <w:rFonts w:ascii="Open Sans" w:cs="Open Sans" w:eastAsia="Open Sans" w:hAnsi="Open Sans"/>
          <w:color w:val="188038"/>
          <w:sz w:val="26"/>
          <w:szCs w:val="26"/>
          <w:rtl w:val="0"/>
        </w:rPr>
        <w:t xml:space="preserve">D-V11-001</w:t>
      </w:r>
      <w:r w:rsidDel="00000000" w:rsidR="00000000" w:rsidRPr="00000000">
        <w:rPr>
          <w:rFonts w:ascii="Open Sans" w:cs="Open Sans" w:eastAsia="Open Sans" w:hAnsi="Open Sans"/>
          <w:sz w:val="26"/>
          <w:szCs w:val="26"/>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pre-existing </w:t>
      </w:r>
      <w:r w:rsidDel="00000000" w:rsidR="00000000" w:rsidRPr="00000000">
        <w:rPr>
          <w:rFonts w:ascii="Open Sans" w:cs="Open Sans" w:eastAsia="Open Sans" w:hAnsi="Open Sans"/>
          <w:color w:val="188038"/>
          <w:sz w:val="26"/>
          <w:szCs w:val="26"/>
          <w:rtl w:val="0"/>
        </w:rPr>
        <w:t xml:space="preserve">duration_lead_time_rules_v1_0.csv</w:t>
      </w:r>
      <w:r w:rsidDel="00000000" w:rsidR="00000000" w:rsidRPr="00000000">
        <w:rPr>
          <w:rFonts w:ascii="Open Sans" w:cs="Open Sans" w:eastAsia="Open Sans" w:hAnsi="Open Sans"/>
          <w:sz w:val="26"/>
          <w:szCs w:val="26"/>
          <w:rtl w:val="0"/>
        </w:rPr>
        <w:t xml:space="preserve"> remains a partial CSV export with 16 rows, including the 13 previously missing rows, accessibility subtype rows, and the trace-only replaced broad accessibility row. It should be referenced as a row-level/export artifact, but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is now broader because it includes 31 duration rows and 31 dependency rows.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V2 register should merge the addendum rows into Sections 3, 4, 6, and 8. It should distinguish between supporting evidence artifacts, such as duration and sequencing workpapers or source-synthesis notes, and application-facing executable artifacts, such as </w:t>
      </w:r>
      <w:r w:rsidDel="00000000" w:rsidR="00000000" w:rsidRPr="00000000">
        <w:rPr>
          <w:rFonts w:ascii="Open Sans" w:cs="Open Sans" w:eastAsia="Open Sans" w:hAnsi="Open Sans"/>
          <w:color w:val="188038"/>
          <w:sz w:val="26"/>
          <w:szCs w:val="26"/>
          <w:rtl w:val="0"/>
        </w:rPr>
        <w:t xml:space="preserve">Seed Tables.xlsx</w:t>
      </w: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color w:val="188038"/>
          <w:sz w:val="26"/>
          <w:szCs w:val="26"/>
          <w:rtl w:val="0"/>
        </w:rPr>
        <w:t xml:space="preserve">duration_lead_time_rules_v1_0.csv</w:t>
      </w:r>
      <w:r w:rsidDel="00000000" w:rsidR="00000000" w:rsidRPr="00000000">
        <w:rPr>
          <w:rFonts w:ascii="Open Sans" w:cs="Open Sans" w:eastAsia="Open Sans" w:hAnsi="Open Sans"/>
          <w:sz w:val="26"/>
          <w:szCs w:val="26"/>
          <w:rtl w:val="0"/>
        </w:rPr>
        <w:t xml:space="preserve">, and future normalized database seed tables.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Recommended gate treatment: mark RG-SEQ-006 as closed for the addendum merge itself. Do not mark the duration/lead-time and dependency source QA gates as closed. The remaining blockers are row-level source URLs/access dates for duration assumptions, owner/expert review status finalization, conversion/normalization into database seed rows, and GC/remodeling PM validation for dependency rules.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The PRD file referenced by governing-source metadata was not found in the current project folder during this inspection. The Decisions Log V11 was available and was reviewed as the operative governance source for the V2 merge.</w:t>
      </w:r>
    </w:p>
    <w:p w:rsidR="00000000" w:rsidDel="00000000" w:rsidP="00000000" w:rsidRDefault="00000000" w:rsidRPr="00000000" w14:paraId="0000000D">
      <w:pPr>
        <w:rPr>
          <w:rFonts w:ascii="Open Sans" w:cs="Open Sans" w:eastAsia="Open Sans" w:hAnsi="Open Sans"/>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