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Open Sans" w:cs="Open Sans" w:eastAsia="Open Sans" w:hAnsi="Open Sans"/>
          <w:sz w:val="44"/>
          <w:szCs w:val="44"/>
        </w:rPr>
      </w:pPr>
      <w:bookmarkStart w:colFirst="0" w:colLast="0" w:name="_39ckjcmdu5az" w:id="0"/>
      <w:bookmarkEnd w:id="0"/>
      <w:r w:rsidDel="00000000" w:rsidR="00000000" w:rsidRPr="00000000">
        <w:rPr>
          <w:rFonts w:ascii="Open Sans" w:cs="Open Sans" w:eastAsia="Open Sans" w:hAnsi="Open Sans"/>
          <w:sz w:val="44"/>
          <w:szCs w:val="44"/>
          <w:rtl w:val="0"/>
        </w:rPr>
        <w:t xml:space="preserve">Property ROI Analysis Tool — Static Data Source Register and Download Checklist V2 Addendum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Artifact: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 Static Data Source Register and Download Checklist Addendum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Version: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 V2 Addendum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 June 2026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 Draft update for incorporation into full Static Data Source Register V2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Prepared by: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 Manus AI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Governing Sources: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 Static Data Source Register V1, Decisions Log V11, Technical Specification V2, Home Improvement Project Duration Estimates, Home Improvement Project Sequencing Analysis</w:t>
      </w:r>
    </w:p>
    <w:p w:rsidR="00000000" w:rsidDel="00000000" w:rsidP="00000000" w:rsidRDefault="00000000" w:rsidRPr="00000000" w14:paraId="00000003">
      <w:pPr>
        <w:pStyle w:val="Heading2"/>
        <w:rPr>
          <w:rFonts w:ascii="Open Sans" w:cs="Open Sans" w:eastAsia="Open Sans" w:hAnsi="Open Sans"/>
          <w:sz w:val="36"/>
          <w:szCs w:val="36"/>
        </w:rPr>
      </w:pPr>
      <w:bookmarkStart w:colFirst="0" w:colLast="0" w:name="_encootg0o4i0" w:id="1"/>
      <w:bookmarkEnd w:id="1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This addendum updates the static-data register to reflect the newly approved duration, lead-time, and sequencing governance decisions in Decisions Log V11. It does not replace the full V1 register; it identifies the new rows and status changes that should be incorporated into Static Data Source Register V2.</w:t>
      </w:r>
    </w:p>
    <w:p w:rsidR="00000000" w:rsidDel="00000000" w:rsidP="00000000" w:rsidRDefault="00000000" w:rsidRPr="00000000" w14:paraId="00000005">
      <w:pPr>
        <w:pStyle w:val="Heading2"/>
        <w:rPr>
          <w:rFonts w:ascii="Open Sans" w:cs="Open Sans" w:eastAsia="Open Sans" w:hAnsi="Open Sans"/>
          <w:sz w:val="36"/>
          <w:szCs w:val="36"/>
        </w:rPr>
      </w:pPr>
      <w:bookmarkStart w:colFirst="0" w:colLast="0" w:name="_uc7c9u6nlqow" w:id="2"/>
      <w:bookmarkEnd w:id="2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2. New and Updated Source-Register Entries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Source /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Source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Required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Acquisition /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Refresh /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Home Improvement Project Duration Estimates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Static workpaper / source synthesis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duration_lead_time_rules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timeline feasibility, carrying-cost sequencing, staging anomaly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/home/ubuntu/upload/HomeImprovementProjectDurationEstimates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Version with seed table; preserve row-level source URLs and access dates before final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Available; source QA still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Provides the working duration/lead-time basis for the 13 previously missing repair types and accessibility split.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Home Improvement Project Sequencing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Static workpaper / source synthesis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dependency_rules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critical-path logic, sequencing explanations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/home/ubuntu/upload/HomeImprovementProjectSequencingAnalysis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Version with dependency-rule table; expert validation recommended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Available; expert validation still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Supports the 30-type dependency matrix and confirms the 13 missing duration rows are sequencer-relevant.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Angi/HomeAdvisor published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External source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Phase 1 duration and lead-time assumptions 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Row-level URLs and access dates still need to be attached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Revisit when better contractor, RSMeans, or observed-duration evidence is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Partially available through workpaper; not yet row-level audited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Should be listed as source evidence, not as an unqualified authoritative standard.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Decisions Log 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Governance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Approves accessibility subtype split, staging under-21-days anomaly, and rejection of fallback-only handling for the 13 missing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Project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Update only through future Decisions Log 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Governs seed-table and Technical Specification V3 updates.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Duration/Lead-Time Seed Table 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Static seed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Recommendation engine timeline feasibility and sequencer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Project artifact plus CSV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Versioned seed data; row-level source QA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Draft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Contains proposed MVP rows and traceability metadata.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>
          <w:rFonts w:ascii="Open Sans" w:cs="Open Sans" w:eastAsia="Open Sans" w:hAnsi="Open Sans"/>
          <w:sz w:val="36"/>
          <w:szCs w:val="36"/>
        </w:rPr>
      </w:pPr>
      <w:bookmarkStart w:colFirst="0" w:colLast="0" w:name="_txxlzce4i0p6" w:id="3"/>
      <w:bookmarkEnd w:id="3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3. Updated Build-Readiness Gate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Prior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Updated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Required Next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Duration/lead-time table seeded from published ranges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Build blocker /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Draft seed table created; still conditionally open pending row-level source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Attach specific source URLs/access dates for each row and decide whether owner approval is enough before implementation.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Dependency rules validated by GC/PM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Build blocker /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Still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Convert sequencing analysis into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dependency_rules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 rows and obtain expert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Recommendation anomaly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Required before report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New staging under-21-days anomaly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Add staging anomaly to seed table and Technical Specification V3.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Recommendation catalog taxonomy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Required before engine 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Accessibility split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Add parent-child category handling for accessibility improvements.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>
          <w:rFonts w:ascii="Open Sans" w:cs="Open Sans" w:eastAsia="Open Sans" w:hAnsi="Open Sans"/>
          <w:sz w:val="36"/>
          <w:szCs w:val="36"/>
        </w:rPr>
      </w:pPr>
      <w:bookmarkStart w:colFirst="0" w:colLast="0" w:name="_926a2t1mc8ec" w:id="4"/>
      <w:bookmarkEnd w:id="4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4. Metadata Requirements for Duration and Sequencing Sources</w:t>
      </w:r>
    </w:p>
    <w:p w:rsidR="00000000" w:rsidDel="00000000" w:rsidP="00000000" w:rsidRDefault="00000000" w:rsidRPr="00000000" w14:paraId="00000046">
      <w:pPr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The next full Static Data Source Register should require the following metadata for each duration and dependency source.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Metadata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Canonical name, such as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ANGI_HOMEADVISOR_DURATION_GUIDANCE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 or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HOME_IMPROVEMENT_SEQUENCING_WORKPAPER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source_artifact_path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Internal path or official external URL.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source_accessed_at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Date the source was reviewed or downloaded.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source_scope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Repair type, subtype, or dependency rule covered.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source_confidence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Working values should be labeled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static_assumption_v1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not empirical calibration.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review_status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pending_source_QA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owner_approved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expert_validated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or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superseded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6"/>
                <w:szCs w:val="26"/>
                <w:rtl w:val="0"/>
              </w:rPr>
              <w:t xml:space="preserve">decision_reference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Relevant Decisions Log entry, especially D-V11-001 through D-V11-004.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>
          <w:rFonts w:ascii="Open Sans" w:cs="Open Sans" w:eastAsia="Open Sans" w:hAnsi="Open Sans"/>
          <w:sz w:val="36"/>
          <w:szCs w:val="36"/>
        </w:rPr>
      </w:pPr>
      <w:bookmarkStart w:colFirst="0" w:colLast="0" w:name="_uiidgktmpntt" w:id="5"/>
      <w:bookmarkEnd w:id="5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5. Incorporation Instruction for Full V2</w:t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When the full Static Data Source Register V2 is prepared, the rows above should be merged into Sections 3, 4, 6, and 8 of the register. The source register should make clear that the workpapers are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supporting evidence artifacts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, while the seed tables are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application-facing executable artifacts</w:t>
      </w:r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rPr>
          <w:rFonts w:ascii="Open Sans" w:cs="Open Sans" w:eastAsia="Open Sans" w:hAnsi="Open Sans"/>
          <w:sz w:val="36"/>
          <w:szCs w:val="36"/>
        </w:rPr>
      </w:pPr>
      <w:bookmarkStart w:colFirst="0" w:colLast="0" w:name="_qfvqam3wovq3" w:id="6"/>
      <w:bookmarkEnd w:id="6"/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6. References</w:t>
      </w:r>
    </w:p>
    <w:p w:rsidR="00000000" w:rsidDel="00000000" w:rsidP="00000000" w:rsidRDefault="00000000" w:rsidRPr="00000000" w14:paraId="0000005B">
      <w:pPr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